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9964FC">
        <w:rPr>
          <w:rFonts w:ascii="Calibri" w:hAnsi="Calibri" w:cs="Arial"/>
          <w:b/>
          <w:bCs/>
          <w:iCs/>
          <w:color w:val="7F7F7F" w:themeColor="text1" w:themeTint="80"/>
          <w:sz w:val="26"/>
          <w:szCs w:val="26"/>
        </w:rPr>
        <w:t>8 ocho</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C22DC8">
        <w:rPr>
          <w:rFonts w:ascii="Calibri" w:hAnsi="Calibri" w:cs="Arial"/>
          <w:b/>
          <w:color w:val="7F7F7F" w:themeColor="text1" w:themeTint="80"/>
          <w:sz w:val="26"/>
          <w:szCs w:val="26"/>
        </w:rPr>
        <w:t>666/2015-JN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291A74">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p>
    <w:p w:rsidR="004B3DFC" w:rsidRPr="00D3379E" w:rsidRDefault="004B3DFC" w:rsidP="004B3DFC">
      <w:pPr>
        <w:pStyle w:val="Textoindependiente"/>
        <w:ind w:firstLine="708"/>
        <w:rPr>
          <w:rFonts w:ascii="Calibri" w:hAnsi="Calibri" w:cs="Arial"/>
          <w:color w:val="7F7F7F" w:themeColor="text1" w:themeTint="80"/>
          <w:sz w:val="20"/>
          <w:szCs w:val="20"/>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D3379E" w:rsidRDefault="004B3DFC" w:rsidP="004B3DFC">
      <w:pPr>
        <w:jc w:val="both"/>
        <w:rPr>
          <w:rFonts w:ascii="Calibri" w:hAnsi="Calibri" w:cs="Arial"/>
          <w:b/>
          <w:i/>
          <w:iCs/>
          <w:color w:val="7F7F7F" w:themeColor="text1" w:themeTint="80"/>
          <w:sz w:val="20"/>
          <w:szCs w:val="20"/>
        </w:rPr>
      </w:pPr>
    </w:p>
    <w:p w:rsidR="00014356" w:rsidRPr="00D3379E" w:rsidRDefault="00014356" w:rsidP="004B3DFC">
      <w:pPr>
        <w:pStyle w:val="Textoindependiente"/>
        <w:ind w:firstLine="708"/>
        <w:rPr>
          <w:rFonts w:ascii="Calibri" w:hAnsi="Calibri"/>
          <w:b/>
          <w:bCs/>
          <w:i/>
          <w:iCs/>
          <w:color w:val="7F7F7F" w:themeColor="text1" w:themeTint="80"/>
          <w:sz w:val="20"/>
          <w:szCs w:val="20"/>
        </w:rPr>
      </w:pPr>
      <w:bookmarkStart w:id="0" w:name="_GoBack"/>
      <w:bookmarkEnd w:id="0"/>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0B4397">
        <w:rPr>
          <w:rFonts w:ascii="Calibri" w:hAnsi="Calibri" w:cs="Arial"/>
          <w:color w:val="7F7F7F" w:themeColor="text1" w:themeTint="80"/>
          <w:sz w:val="26"/>
          <w:szCs w:val="26"/>
        </w:rPr>
        <w:t>19 diecinueve de julio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D3379E" w:rsidRDefault="004B3DFC" w:rsidP="004B3DFC">
      <w:pPr>
        <w:jc w:val="both"/>
        <w:rPr>
          <w:rFonts w:ascii="Calibri" w:hAnsi="Calibri"/>
          <w:b/>
          <w:i/>
          <w:iCs/>
          <w:color w:val="7F7F7F" w:themeColor="text1" w:themeTint="80"/>
          <w:sz w:val="20"/>
          <w:szCs w:val="20"/>
        </w:rPr>
      </w:pPr>
    </w:p>
    <w:p w:rsidR="00C03E23" w:rsidRDefault="004B3DFC" w:rsidP="00C03E23">
      <w:pPr>
        <w:ind w:firstLine="708"/>
        <w:jc w:val="both"/>
        <w:rPr>
          <w:rFonts w:ascii="Calibri" w:hAnsi="Calibri" w:cs="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0B4397">
        <w:rPr>
          <w:rFonts w:ascii="Calibri" w:hAnsi="Calibri" w:cs="Calibri"/>
          <w:color w:val="7F7F7F" w:themeColor="text1" w:themeTint="80"/>
          <w:sz w:val="26"/>
          <w:szCs w:val="26"/>
        </w:rPr>
        <w:t>19 diecinueve de julio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0B4397">
        <w:rPr>
          <w:rFonts w:ascii="Calibri" w:hAnsi="Calibri"/>
          <w:color w:val="7F7F7F" w:themeColor="text1" w:themeTint="80"/>
          <w:sz w:val="26"/>
          <w:szCs w:val="26"/>
        </w:rPr>
        <w:t>0436</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w:t>
      </w:r>
    </w:p>
    <w:p w:rsidR="00C03E23" w:rsidRDefault="00C03E23" w:rsidP="00C03E2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666/2015-JN</w:t>
      </w:r>
    </w:p>
    <w:p w:rsidR="00C03E23" w:rsidRPr="00C03E23" w:rsidRDefault="00C03E23" w:rsidP="00C03E23">
      <w:pPr>
        <w:ind w:firstLine="708"/>
        <w:jc w:val="both"/>
        <w:rPr>
          <w:rFonts w:ascii="Calibri" w:hAnsi="Calibri" w:cs="Calibri"/>
          <w:color w:val="7F7F7F" w:themeColor="text1" w:themeTint="80"/>
          <w:sz w:val="20"/>
          <w:szCs w:val="20"/>
        </w:rPr>
      </w:pPr>
    </w:p>
    <w:p w:rsidR="004B3DFC" w:rsidRPr="00C03E23" w:rsidRDefault="00C03E23" w:rsidP="00C03E23">
      <w:pPr>
        <w:jc w:val="both"/>
        <w:rPr>
          <w:rFonts w:ascii="Calibri" w:hAnsi="Calibri"/>
          <w:color w:val="7F7F7F" w:themeColor="text1" w:themeTint="80"/>
          <w:sz w:val="26"/>
          <w:szCs w:val="26"/>
        </w:rPr>
      </w:pPr>
      <w:r>
        <w:rPr>
          <w:rFonts w:ascii="Calibri" w:hAnsi="Calibri" w:cs="Calibri"/>
          <w:color w:val="7F7F7F" w:themeColor="text1" w:themeTint="80"/>
          <w:sz w:val="26"/>
          <w:szCs w:val="26"/>
        </w:rPr>
        <w:t>a</w:t>
      </w:r>
      <w:r w:rsidR="004B3DFC" w:rsidRPr="00BF5CA7">
        <w:rPr>
          <w:rFonts w:ascii="Calibri" w:hAnsi="Calibri" w:cs="Calibri"/>
          <w:color w:val="7F7F7F" w:themeColor="text1" w:themeTint="80"/>
          <w:sz w:val="26"/>
          <w:szCs w:val="26"/>
        </w:rPr>
        <w:t xml:space="preserve">dmitidos como pruebas </w:t>
      </w:r>
      <w:r w:rsidR="000022A1">
        <w:rPr>
          <w:rFonts w:ascii="Calibri" w:hAnsi="Calibri" w:cs="Calibri"/>
          <w:color w:val="7F7F7F" w:themeColor="text1" w:themeTint="80"/>
          <w:sz w:val="26"/>
          <w:szCs w:val="26"/>
        </w:rPr>
        <w:t xml:space="preserve">a las partes, obrando </w:t>
      </w:r>
      <w:r w:rsidR="004B3DFC" w:rsidRPr="00BF5CA7">
        <w:rPr>
          <w:rFonts w:ascii="Calibri" w:hAnsi="Calibri" w:cs="Calibri"/>
          <w:color w:val="7F7F7F" w:themeColor="text1" w:themeTint="80"/>
          <w:sz w:val="26"/>
          <w:szCs w:val="26"/>
        </w:rPr>
        <w:t>en el secreto de este Juzgado</w:t>
      </w:r>
      <w:r w:rsidR="004B3DFC" w:rsidRPr="00BF5CA7">
        <w:rPr>
          <w:rFonts w:ascii="Calibri" w:hAnsi="Calibri"/>
          <w:color w:val="7F7F7F" w:themeColor="text1" w:themeTint="80"/>
          <w:sz w:val="26"/>
          <w:szCs w:val="26"/>
        </w:rPr>
        <w:t xml:space="preserve"> (</w:t>
      </w:r>
      <w:r w:rsidR="004B3DFC"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004B3DFC" w:rsidRPr="00BF5CA7">
        <w:rPr>
          <w:rFonts w:ascii="Calibri" w:hAnsi="Calibri" w:cs="Calibri"/>
          <w:color w:val="7F7F7F" w:themeColor="text1" w:themeTint="80"/>
          <w:sz w:val="26"/>
          <w:szCs w:val="26"/>
        </w:rPr>
        <w:t xml:space="preserve">); los cuales </w:t>
      </w:r>
      <w:r w:rsidR="004B3DFC"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004B3DFC"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xml:space="preserve">. . . . . . . . . . . . . . </w:t>
      </w:r>
    </w:p>
    <w:p w:rsidR="004B3DFC" w:rsidRPr="005E0D8B" w:rsidRDefault="004B3DFC" w:rsidP="004B3DFC">
      <w:pPr>
        <w:ind w:firstLine="708"/>
        <w:jc w:val="both"/>
        <w:rPr>
          <w:rFonts w:ascii="Calibri" w:hAnsi="Calibri"/>
          <w:color w:val="7F7F7F" w:themeColor="text1" w:themeTint="80"/>
          <w:sz w:val="20"/>
          <w:szCs w:val="20"/>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5E0D8B" w:rsidRDefault="004B3DFC" w:rsidP="004B3DFC">
      <w:pPr>
        <w:jc w:val="both"/>
        <w:rPr>
          <w:rFonts w:ascii="Calibri" w:hAnsi="Calibri"/>
          <w:color w:val="7F7F7F" w:themeColor="text1" w:themeTint="80"/>
          <w:sz w:val="20"/>
          <w:szCs w:val="20"/>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E50512" w:rsidRPr="005E0D8B" w:rsidRDefault="00E50512" w:rsidP="004B3DFC">
      <w:pPr>
        <w:ind w:firstLine="708"/>
        <w:jc w:val="both"/>
        <w:rPr>
          <w:rFonts w:ascii="Calibri" w:hAnsi="Calibri"/>
          <w:bCs/>
          <w:iCs/>
          <w:color w:val="7F7F7F" w:themeColor="text1" w:themeTint="80"/>
          <w:sz w:val="20"/>
          <w:szCs w:val="20"/>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Asentado lo anterior, se advierte que en el presente proceso, el Director General de Fiscalización y Control e Inspector demandados, exteriorizaron que el proceso es improcedente; aduciendo que se actualiza</w:t>
      </w:r>
      <w:r w:rsidR="005E0D8B">
        <w:rPr>
          <w:rFonts w:ascii="Calibri" w:hAnsi="Calibri"/>
          <w:bCs/>
          <w:iCs/>
          <w:color w:val="7F7F7F" w:themeColor="text1" w:themeTint="80"/>
          <w:sz w:val="26"/>
          <w:szCs w:val="26"/>
        </w:rPr>
        <w:t>n</w:t>
      </w:r>
      <w:r w:rsidRPr="00781737">
        <w:rPr>
          <w:rFonts w:ascii="Calibri" w:hAnsi="Calibri"/>
          <w:bCs/>
          <w:iCs/>
          <w:color w:val="7F7F7F" w:themeColor="text1" w:themeTint="80"/>
          <w:sz w:val="26"/>
          <w:szCs w:val="26"/>
        </w:rPr>
        <w:t xml:space="preserve"> las causales previstas en el artículo 261, en sus fracciones I y VII, esta última concatenada con el artículo 251, del Código de Procedimiento y Justicia Administrativa antes citado; al referir, </w:t>
      </w:r>
      <w:r w:rsidR="005E0D8B" w:rsidRPr="005E0D8B">
        <w:rPr>
          <w:rFonts w:ascii="Calibri" w:hAnsi="Calibri"/>
          <w:bCs/>
          <w:i/>
          <w:iCs/>
          <w:color w:val="7F7F7F" w:themeColor="text1" w:themeTint="80"/>
          <w:sz w:val="26"/>
          <w:szCs w:val="26"/>
        </w:rPr>
        <w:t>“</w:t>
      </w:r>
      <w:r w:rsidRPr="005E0D8B">
        <w:rPr>
          <w:rFonts w:ascii="Calibri" w:hAnsi="Calibri"/>
          <w:bCs/>
          <w:i/>
          <w:iCs/>
          <w:color w:val="7F7F7F" w:themeColor="text1" w:themeTint="80"/>
          <w:sz w:val="26"/>
          <w:szCs w:val="26"/>
        </w:rPr>
        <w:t>grosso modo</w:t>
      </w:r>
      <w:r w:rsidR="005E0D8B" w:rsidRPr="005E0D8B">
        <w:rPr>
          <w:rFonts w:ascii="Calibri" w:hAnsi="Calibri"/>
          <w:bCs/>
          <w:i/>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w:t>
      </w:r>
      <w:r w:rsidR="00314334">
        <w:rPr>
          <w:rFonts w:ascii="Calibri" w:hAnsi="Calibri"/>
          <w:bCs/>
          <w:iCs/>
          <w:color w:val="7F7F7F" w:themeColor="text1" w:themeTint="80"/>
          <w:sz w:val="26"/>
          <w:szCs w:val="26"/>
        </w:rPr>
        <w:t>.</w:t>
      </w:r>
    </w:p>
    <w:p w:rsidR="00781737" w:rsidRPr="005E0D8B" w:rsidRDefault="00781737" w:rsidP="00781737">
      <w:pPr>
        <w:ind w:firstLine="708"/>
        <w:jc w:val="both"/>
        <w:rPr>
          <w:rFonts w:ascii="Calibri" w:hAnsi="Calibri"/>
          <w:bCs/>
          <w:iCs/>
          <w:color w:val="7F7F7F" w:themeColor="text1" w:themeTint="80"/>
          <w:sz w:val="20"/>
          <w:szCs w:val="20"/>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 la impetrante; toda vez que se instauró en su contra, por la Dirección General de Fiscalización y Control, el procedimiento administrativo </w:t>
      </w:r>
      <w:r w:rsidR="00314334">
        <w:rPr>
          <w:rFonts w:ascii="Calibri" w:hAnsi="Calibri"/>
          <w:bCs/>
          <w:iCs/>
          <w:color w:val="7F7F7F" w:themeColor="text1" w:themeTint="80"/>
          <w:sz w:val="26"/>
          <w:szCs w:val="26"/>
        </w:rPr>
        <w:t xml:space="preserve">con </w:t>
      </w:r>
      <w:r w:rsidRPr="00781737">
        <w:rPr>
          <w:rFonts w:ascii="Calibri" w:hAnsi="Calibri"/>
          <w:bCs/>
          <w:iCs/>
          <w:color w:val="7F7F7F" w:themeColor="text1" w:themeTint="80"/>
          <w:sz w:val="26"/>
          <w:szCs w:val="26"/>
        </w:rPr>
        <w:t>número DGFC/DT/</w:t>
      </w:r>
      <w:r w:rsidR="000B4397">
        <w:rPr>
          <w:rFonts w:ascii="Calibri" w:hAnsi="Calibri"/>
          <w:bCs/>
          <w:iCs/>
          <w:color w:val="7F7F7F" w:themeColor="text1" w:themeTint="80"/>
          <w:sz w:val="26"/>
          <w:szCs w:val="26"/>
        </w:rPr>
        <w:t>0436</w:t>
      </w:r>
      <w:r w:rsidRPr="00781737">
        <w:rPr>
          <w:rFonts w:ascii="Calibri" w:hAnsi="Calibri"/>
          <w:bCs/>
          <w:iCs/>
          <w:color w:val="7F7F7F" w:themeColor="text1" w:themeTint="80"/>
          <w:sz w:val="26"/>
          <w:szCs w:val="26"/>
        </w:rPr>
        <w:t>/2015/JA, mismo en el que</w:t>
      </w:r>
      <w:r w:rsidR="00FC2859">
        <w:rPr>
          <w:rFonts w:ascii="Calibri" w:hAnsi="Calibri"/>
          <w:bCs/>
          <w:iCs/>
          <w:color w:val="7F7F7F" w:themeColor="text1" w:themeTint="80"/>
          <w:sz w:val="26"/>
          <w:szCs w:val="26"/>
        </w:rPr>
        <w:t xml:space="preserve">, de acuerdo a la resolución (presentada por el Director demandado y palpable a foja 43 cuarenta y tres) de fecha 27 veintisiete de julio del año 2015 dos mil quince, se le impuso una </w:t>
      </w:r>
      <w:r w:rsidRPr="00781737">
        <w:rPr>
          <w:rFonts w:ascii="Calibri" w:hAnsi="Calibri"/>
          <w:bCs/>
          <w:iCs/>
          <w:color w:val="7F7F7F" w:themeColor="text1" w:themeTint="80"/>
          <w:sz w:val="26"/>
          <w:szCs w:val="26"/>
        </w:rPr>
        <w:t>sanción</w:t>
      </w:r>
      <w:r w:rsidR="00FC2859">
        <w:rPr>
          <w:rFonts w:ascii="Calibri" w:hAnsi="Calibri"/>
          <w:bCs/>
          <w:iCs/>
          <w:color w:val="7F7F7F" w:themeColor="text1" w:themeTint="80"/>
          <w:sz w:val="26"/>
          <w:szCs w:val="26"/>
        </w:rPr>
        <w:t xml:space="preserve"> consistente en una multa</w:t>
      </w:r>
      <w:r w:rsidR="003803E5">
        <w:rPr>
          <w:rFonts w:ascii="Calibri" w:hAnsi="Calibri"/>
          <w:bCs/>
          <w:iCs/>
          <w:color w:val="7F7F7F" w:themeColor="text1" w:themeTint="80"/>
          <w:sz w:val="26"/>
          <w:szCs w:val="26"/>
        </w:rPr>
        <w:t>;</w:t>
      </w:r>
      <w:r w:rsidRPr="00781737">
        <w:rPr>
          <w:rFonts w:ascii="Calibri" w:hAnsi="Calibri"/>
          <w:bCs/>
          <w:iCs/>
          <w:color w:val="7F7F7F" w:themeColor="text1" w:themeTint="80"/>
          <w:sz w:val="26"/>
          <w:szCs w:val="26"/>
        </w:rPr>
        <w:t xml:space="preserve"> además de que se clausuró una máquina de juegos de azar que se encontraba al interior del establecimiento visitado, lo que sí afecta la esfera de derechos de la actora,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causales de improcedencia señaladas, ésta sí se encuentra legitimada para promover el proceso que nos ocupa. . . . . . . . . . . . . . . .</w:t>
      </w:r>
      <w:r w:rsidR="003803E5">
        <w:rPr>
          <w:rFonts w:ascii="Calibri" w:hAnsi="Calibri"/>
          <w:bCs/>
          <w:iCs/>
          <w:color w:val="7F7F7F" w:themeColor="text1" w:themeTint="80"/>
          <w:sz w:val="26"/>
          <w:szCs w:val="26"/>
        </w:rPr>
        <w:t xml:space="preserve"> . . . . . . . . . . . . . . . . . . . . . . . . . . . . . . . . . . . . . . . . . . . . . . . . </w:t>
      </w:r>
    </w:p>
    <w:p w:rsidR="00781737" w:rsidRPr="003803E5" w:rsidRDefault="00781737" w:rsidP="00781737">
      <w:pPr>
        <w:ind w:firstLine="708"/>
        <w:jc w:val="both"/>
        <w:rPr>
          <w:rFonts w:ascii="Calibri" w:hAnsi="Calibri"/>
          <w:bCs/>
          <w:iCs/>
          <w:color w:val="000000" w:themeColor="text1"/>
          <w:sz w:val="20"/>
          <w:szCs w:val="20"/>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w:t>
      </w:r>
      <w:r w:rsidR="003803E5">
        <w:rPr>
          <w:rFonts w:ascii="Calibri" w:hAnsi="Calibri"/>
          <w:bCs/>
          <w:iCs/>
          <w:color w:val="7F7F7F" w:themeColor="text1" w:themeTint="80"/>
          <w:sz w:val="26"/>
          <w:szCs w:val="26"/>
        </w:rPr>
        <w:t xml:space="preserve"> . . . . </w:t>
      </w:r>
    </w:p>
    <w:p w:rsidR="004B3DFC" w:rsidRPr="003803E5" w:rsidRDefault="004B3DFC" w:rsidP="004B3DFC">
      <w:pPr>
        <w:jc w:val="both"/>
        <w:rPr>
          <w:rFonts w:ascii="Calibri" w:hAnsi="Calibri"/>
          <w:b/>
          <w:bCs/>
          <w:i/>
          <w:iCs/>
          <w:color w:val="7F7F7F" w:themeColor="text1" w:themeTint="80"/>
          <w:sz w:val="20"/>
          <w:szCs w:val="20"/>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3803E5" w:rsidRDefault="004B3DFC" w:rsidP="004B3DFC">
      <w:pPr>
        <w:ind w:firstLine="708"/>
        <w:jc w:val="both"/>
        <w:rPr>
          <w:rFonts w:ascii="Calibri" w:hAnsi="Calibri"/>
          <w:color w:val="7F7F7F" w:themeColor="text1" w:themeTint="80"/>
          <w:sz w:val="20"/>
          <w:szCs w:val="20"/>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0B4397">
        <w:rPr>
          <w:rFonts w:ascii="Calibri" w:hAnsi="Calibri"/>
          <w:color w:val="7F7F7F" w:themeColor="text1" w:themeTint="80"/>
          <w:sz w:val="26"/>
          <w:szCs w:val="26"/>
        </w:rPr>
        <w:t>19 diecinueve de julio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0B4397">
        <w:rPr>
          <w:rFonts w:ascii="Calibri" w:hAnsi="Calibri"/>
          <w:color w:val="7F7F7F" w:themeColor="text1" w:themeTint="80"/>
          <w:sz w:val="26"/>
          <w:szCs w:val="26"/>
        </w:rPr>
        <w:t>0436</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291A74">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w:t>
      </w:r>
      <w:r w:rsidRPr="00BF5CA7">
        <w:rPr>
          <w:rFonts w:ascii="Calibri" w:hAnsi="Calibri"/>
          <w:color w:val="7F7F7F" w:themeColor="text1" w:themeTint="80"/>
          <w:sz w:val="26"/>
          <w:szCs w:val="26"/>
        </w:rPr>
        <w:lastRenderedPageBreak/>
        <w:t xml:space="preserve">Guanajuato, en vigor; en el establecimiento ubicado en el domicilio marcado con el número </w:t>
      </w:r>
      <w:r w:rsidR="00FC2859">
        <w:rPr>
          <w:rFonts w:ascii="Calibri" w:hAnsi="Calibri"/>
          <w:color w:val="7F7F7F" w:themeColor="text1" w:themeTint="80"/>
          <w:sz w:val="26"/>
          <w:szCs w:val="26"/>
        </w:rPr>
        <w:t>7411-C siete mil cuatrocientos once guion C</w:t>
      </w:r>
      <w:r w:rsidRPr="00BF5CA7">
        <w:rPr>
          <w:rFonts w:ascii="Calibri" w:hAnsi="Calibri"/>
          <w:color w:val="7F7F7F" w:themeColor="text1" w:themeTint="80"/>
          <w:sz w:val="26"/>
          <w:szCs w:val="26"/>
        </w:rPr>
        <w:t xml:space="preserve">, de la calle </w:t>
      </w:r>
      <w:r w:rsidR="00FC2859">
        <w:rPr>
          <w:rFonts w:ascii="Calibri" w:hAnsi="Calibri"/>
          <w:color w:val="7F7F7F" w:themeColor="text1" w:themeTint="80"/>
          <w:sz w:val="26"/>
          <w:szCs w:val="26"/>
        </w:rPr>
        <w:t>Rio Mayo</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de la </w:t>
      </w:r>
      <w:r w:rsidRPr="00BF5CA7">
        <w:rPr>
          <w:rFonts w:ascii="Calibri" w:hAnsi="Calibri"/>
          <w:color w:val="7F7F7F" w:themeColor="text1" w:themeTint="80"/>
          <w:sz w:val="26"/>
          <w:szCs w:val="26"/>
        </w:rPr>
        <w:t xml:space="preserve">colonia </w:t>
      </w:r>
      <w:r w:rsidR="00AE1A6F">
        <w:rPr>
          <w:rFonts w:ascii="Calibri" w:hAnsi="Calibri"/>
          <w:color w:val="7F7F7F" w:themeColor="text1" w:themeTint="80"/>
          <w:sz w:val="26"/>
          <w:szCs w:val="26"/>
        </w:rPr>
        <w:t xml:space="preserve">o comunidad </w:t>
      </w:r>
      <w:r w:rsidR="00FC2859">
        <w:rPr>
          <w:rFonts w:ascii="Calibri" w:hAnsi="Calibri"/>
          <w:color w:val="7F7F7F" w:themeColor="text1" w:themeTint="80"/>
          <w:sz w:val="26"/>
          <w:szCs w:val="26"/>
        </w:rPr>
        <w:t>Valle de Jerez</w:t>
      </w:r>
      <w:r w:rsidR="00FB227A">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de </w:t>
      </w:r>
      <w:r w:rsidR="00AE1A6F">
        <w:rPr>
          <w:rFonts w:ascii="Calibri" w:hAnsi="Calibri"/>
          <w:color w:val="7F7F7F" w:themeColor="text1" w:themeTint="80"/>
          <w:sz w:val="26"/>
          <w:szCs w:val="26"/>
        </w:rPr>
        <w:t>este municipio</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propietaria de</w:t>
      </w:r>
      <w:r w:rsidR="00FE6FD0">
        <w:rPr>
          <w:rFonts w:ascii="Calibri" w:hAnsi="Calibri"/>
          <w:color w:val="7F7F7F" w:themeColor="text1" w:themeTint="80"/>
          <w:sz w:val="26"/>
          <w:szCs w:val="26"/>
        </w:rPr>
        <w:t>l local inspeccionado</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ciudadan</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 . . . . . . . . . . . . . . . .</w:t>
      </w:r>
      <w:r w:rsidR="00E36900">
        <w:rPr>
          <w:rFonts w:ascii="Calibri" w:hAnsi="Calibri"/>
          <w:color w:val="7F7F7F" w:themeColor="text1" w:themeTint="80"/>
          <w:sz w:val="26"/>
          <w:szCs w:val="26"/>
        </w:rPr>
        <w:t xml:space="preserve"> . . . </w:t>
      </w:r>
    </w:p>
    <w:p w:rsidR="004B3DFC" w:rsidRPr="00E36900" w:rsidRDefault="004B3DFC" w:rsidP="004B3DFC">
      <w:pPr>
        <w:pStyle w:val="Sangra2detindependiente"/>
        <w:ind w:firstLine="0"/>
        <w:rPr>
          <w:rFonts w:ascii="Calibri" w:hAnsi="Calibri"/>
          <w:color w:val="7F7F7F" w:themeColor="text1" w:themeTint="80"/>
          <w:sz w:val="20"/>
          <w:szCs w:val="20"/>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E36900" w:rsidRDefault="004B3DFC" w:rsidP="004B3DFC">
      <w:pPr>
        <w:pStyle w:val="Textoindependiente"/>
        <w:tabs>
          <w:tab w:val="left" w:pos="3594"/>
        </w:tabs>
        <w:rPr>
          <w:rFonts w:ascii="Calibri" w:hAnsi="Calibri" w:cs="Calibri"/>
          <w:iCs/>
          <w:color w:val="7F7F7F" w:themeColor="text1" w:themeTint="80"/>
          <w:sz w:val="20"/>
          <w:szCs w:val="20"/>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 . . . . . . . . . . . . . . . . . . . . . . . .</w:t>
      </w:r>
      <w:r w:rsidR="00D77803">
        <w:rPr>
          <w:rFonts w:ascii="Calibri" w:hAnsi="Calibri" w:cs="Calibri"/>
          <w:iCs/>
          <w:color w:val="7F7F7F" w:themeColor="text1" w:themeTint="80"/>
          <w:sz w:val="26"/>
          <w:szCs w:val="26"/>
        </w:rPr>
        <w:t xml:space="preserve"> . . . . . . . . . . . . . . . . . . . . . . . . . . </w:t>
      </w:r>
    </w:p>
    <w:p w:rsidR="00AE3E7D" w:rsidRPr="00E36900" w:rsidRDefault="00AE3E7D" w:rsidP="004B3DFC">
      <w:pPr>
        <w:pStyle w:val="Textoindependiente"/>
        <w:tabs>
          <w:tab w:val="left" w:pos="3594"/>
        </w:tabs>
        <w:rPr>
          <w:rFonts w:ascii="Calibri" w:hAnsi="Calibri" w:cs="Calibri"/>
          <w:iCs/>
          <w:color w:val="7F7F7F" w:themeColor="text1" w:themeTint="80"/>
          <w:sz w:val="20"/>
          <w:szCs w:val="20"/>
        </w:rPr>
      </w:pPr>
    </w:p>
    <w:p w:rsidR="00E36900"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E36900">
        <w:rPr>
          <w:rFonts w:ascii="Calibri" w:hAnsi="Calibri" w:cs="Calibri"/>
          <w:i/>
          <w:color w:val="7F7F7F" w:themeColor="text1" w:themeTint="80"/>
          <w:sz w:val="26"/>
          <w:szCs w:val="26"/>
        </w:rPr>
        <w:t>litis</w:t>
      </w:r>
      <w:proofErr w:type="spellEnd"/>
      <w:r w:rsidRPr="00E36900">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0B4397">
        <w:rPr>
          <w:rFonts w:ascii="Calibri" w:hAnsi="Calibri"/>
          <w:color w:val="7F7F7F" w:themeColor="text1" w:themeTint="80"/>
          <w:sz w:val="26"/>
          <w:szCs w:val="26"/>
        </w:rPr>
        <w:t>19 diecinueve de julio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0B4397">
        <w:rPr>
          <w:rFonts w:ascii="Calibri" w:hAnsi="Calibri"/>
          <w:color w:val="7F7F7F" w:themeColor="text1" w:themeTint="80"/>
          <w:sz w:val="26"/>
          <w:szCs w:val="26"/>
        </w:rPr>
        <w:t>0436</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w:t>
      </w:r>
    </w:p>
    <w:p w:rsidR="00E36900" w:rsidRDefault="00E36900" w:rsidP="00E3690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666/2015-JN</w:t>
      </w:r>
    </w:p>
    <w:p w:rsidR="00E36900" w:rsidRPr="00E36900" w:rsidRDefault="00E36900" w:rsidP="004B3DFC">
      <w:pPr>
        <w:ind w:firstLine="708"/>
        <w:jc w:val="both"/>
        <w:rPr>
          <w:rFonts w:ascii="Calibri" w:hAnsi="Calibri"/>
          <w:color w:val="7F7F7F" w:themeColor="text1" w:themeTint="80"/>
          <w:sz w:val="20"/>
          <w:szCs w:val="20"/>
        </w:rPr>
      </w:pPr>
    </w:p>
    <w:p w:rsidR="004B3DFC" w:rsidRPr="00BF5CA7" w:rsidRDefault="004B3DFC" w:rsidP="00E36900">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levantamiento</w:t>
      </w:r>
      <w:proofErr w:type="gramEnd"/>
      <w:r w:rsidRPr="00BF5CA7">
        <w:rPr>
          <w:rFonts w:ascii="Calibri" w:hAnsi="Calibri"/>
          <w:color w:val="7F7F7F" w:themeColor="text1" w:themeTint="80"/>
          <w:sz w:val="26"/>
          <w:szCs w:val="26"/>
        </w:rPr>
        <w:t xml:space="preserve">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Pr="00E36900" w:rsidRDefault="00EC7D6A" w:rsidP="00D77803">
      <w:pPr>
        <w:jc w:val="both"/>
        <w:rPr>
          <w:rFonts w:ascii="Calibri" w:hAnsi="Calibri" w:cs="Arial"/>
          <w:b/>
          <w:bCs/>
          <w:i/>
          <w:iCs/>
          <w:color w:val="7F7F7F" w:themeColor="text1" w:themeTint="80"/>
          <w:sz w:val="20"/>
          <w:szCs w:val="20"/>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Pr="00E36900" w:rsidRDefault="00D77803" w:rsidP="00E36900">
      <w:pPr>
        <w:jc w:val="both"/>
        <w:rPr>
          <w:rFonts w:ascii="Calibri" w:hAnsi="Calibri" w:cs="Calibri"/>
          <w:color w:val="7F7F7F" w:themeColor="text1" w:themeTint="80"/>
          <w:sz w:val="20"/>
          <w:szCs w:val="20"/>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E36900" w:rsidRDefault="004B3DFC" w:rsidP="004B3DFC">
      <w:pPr>
        <w:ind w:firstLine="708"/>
        <w:jc w:val="both"/>
        <w:rPr>
          <w:rFonts w:ascii="Calibri" w:hAnsi="Calibri" w:cs="Arial"/>
          <w:color w:val="7F7F7F" w:themeColor="text1" w:themeTint="80"/>
          <w:sz w:val="20"/>
          <w:szCs w:val="20"/>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E36900" w:rsidRDefault="004B3DFC" w:rsidP="004B3DFC">
      <w:pPr>
        <w:pStyle w:val="Textoindependiente"/>
        <w:ind w:firstLine="708"/>
        <w:rPr>
          <w:rFonts w:ascii="Calibri" w:hAnsi="Calibri"/>
          <w:color w:val="7F7F7F" w:themeColor="text1" w:themeTint="80"/>
          <w:sz w:val="20"/>
          <w:szCs w:val="20"/>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w:t>
      </w:r>
      <w:r w:rsidRPr="00BF5CA7">
        <w:rPr>
          <w:rFonts w:ascii="Calibri" w:hAnsi="Calibri"/>
          <w:i/>
          <w:iCs/>
          <w:color w:val="7F7F7F" w:themeColor="text1" w:themeTint="80"/>
          <w:sz w:val="26"/>
          <w:szCs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E36900" w:rsidRDefault="004B3DFC" w:rsidP="004B3DFC">
      <w:pPr>
        <w:pStyle w:val="Normal0"/>
        <w:jc w:val="both"/>
        <w:rPr>
          <w:rFonts w:ascii="Calibri" w:hAnsi="Calibri"/>
          <w:color w:val="7F7F7F" w:themeColor="text1" w:themeTint="80"/>
          <w:sz w:val="20"/>
          <w:szCs w:val="20"/>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017EB0">
        <w:rPr>
          <w:rFonts w:ascii="Calibri" w:hAnsi="Calibri"/>
          <w:color w:val="7F7F7F" w:themeColor="text1" w:themeTint="80"/>
          <w:sz w:val="26"/>
          <w:szCs w:val="26"/>
        </w:rPr>
        <w:t xml:space="preserve"> . . . . . . . . . </w:t>
      </w:r>
    </w:p>
    <w:p w:rsidR="004B3DFC" w:rsidRPr="00017EB0" w:rsidRDefault="004B3DFC" w:rsidP="004B3DFC">
      <w:pPr>
        <w:jc w:val="both"/>
        <w:rPr>
          <w:rFonts w:ascii="Calibri" w:hAnsi="Calibri"/>
          <w:i/>
          <w:color w:val="7F7F7F" w:themeColor="text1" w:themeTint="80"/>
          <w:sz w:val="20"/>
          <w:szCs w:val="20"/>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w:t>
      </w:r>
      <w:r w:rsidR="00CF7B38" w:rsidRPr="006071F6">
        <w:rPr>
          <w:rFonts w:ascii="Calibri" w:hAnsi="Calibri"/>
          <w:color w:val="7F7F7F" w:themeColor="text1" w:themeTint="80"/>
          <w:sz w:val="26"/>
          <w:szCs w:val="26"/>
        </w:rPr>
        <w:t>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r w:rsidR="007A0566">
        <w:rPr>
          <w:rFonts w:ascii="Calibri" w:hAnsi="Calibri"/>
          <w:i/>
          <w:iCs/>
          <w:color w:val="7F7F7F" w:themeColor="text1" w:themeTint="80"/>
          <w:sz w:val="26"/>
          <w:szCs w:val="26"/>
        </w:rPr>
        <w:t xml:space="preserve">. . . . . . . . . . . . . . . . . . . </w:t>
      </w:r>
    </w:p>
    <w:p w:rsidR="00E959B2" w:rsidRPr="00017EB0" w:rsidRDefault="00E959B2" w:rsidP="00E959B2">
      <w:pPr>
        <w:pStyle w:val="Sangra3detindependiente"/>
        <w:ind w:left="0"/>
        <w:jc w:val="both"/>
        <w:rPr>
          <w:rFonts w:ascii="Calibri" w:hAnsi="Calibri"/>
          <w:color w:val="7F7F7F" w:themeColor="text1" w:themeTint="80"/>
          <w:sz w:val="20"/>
          <w:szCs w:val="20"/>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E447A6">
        <w:rPr>
          <w:rFonts w:asciiTheme="minorHAnsi" w:hAnsiTheme="minorHAnsi"/>
          <w:color w:val="7F7F7F" w:themeColor="text1" w:themeTint="80"/>
          <w:sz w:val="26"/>
          <w:szCs w:val="26"/>
        </w:rPr>
        <w:t>. . . . . . . . . . . .</w:t>
      </w:r>
    </w:p>
    <w:p w:rsidR="008C61C6" w:rsidRPr="00E447A6" w:rsidRDefault="008C61C6" w:rsidP="005820E3">
      <w:pPr>
        <w:pStyle w:val="Default"/>
        <w:ind w:firstLine="708"/>
        <w:jc w:val="both"/>
        <w:rPr>
          <w:rFonts w:asciiTheme="minorHAnsi" w:hAnsiTheme="minorHAnsi"/>
          <w:color w:val="7F7F7F" w:themeColor="text1" w:themeTint="80"/>
          <w:sz w:val="20"/>
          <w:szCs w:val="20"/>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a dicte de acuerdo con esta Ley; pues ello se entiende en virtud de la colaboración solicitada por dicha dependencia, y no por iniciativa propia; como ocurre en el caso en concreto. . . . . . . . . . . . . . . .</w:t>
      </w:r>
      <w:r w:rsidR="00E447A6">
        <w:rPr>
          <w:rFonts w:asciiTheme="minorHAnsi" w:hAnsiTheme="minorHAnsi"/>
          <w:color w:val="7F7F7F" w:themeColor="text1" w:themeTint="80"/>
          <w:sz w:val="26"/>
          <w:szCs w:val="26"/>
        </w:rPr>
        <w:t xml:space="preserve"> . . . . . . . . </w:t>
      </w:r>
      <w:r w:rsidR="00992C9C">
        <w:rPr>
          <w:rFonts w:asciiTheme="minorHAnsi" w:hAnsiTheme="minorHAnsi"/>
          <w:color w:val="7F7F7F" w:themeColor="text1" w:themeTint="80"/>
          <w:sz w:val="26"/>
          <w:szCs w:val="26"/>
        </w:rPr>
        <w:t xml:space="preserve"> </w:t>
      </w:r>
    </w:p>
    <w:p w:rsidR="008B6F66" w:rsidRPr="00E447A6" w:rsidRDefault="008B6F66" w:rsidP="005820E3">
      <w:pPr>
        <w:pStyle w:val="Default"/>
        <w:ind w:firstLine="708"/>
        <w:jc w:val="both"/>
        <w:rPr>
          <w:rFonts w:asciiTheme="minorHAnsi" w:hAnsiTheme="minorHAnsi"/>
          <w:color w:val="7F7F7F" w:themeColor="text1" w:themeTint="80"/>
          <w:sz w:val="20"/>
          <w:szCs w:val="20"/>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lastRenderedPageBreak/>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Pr="00E447A6" w:rsidRDefault="00DB641E" w:rsidP="00CA2C14">
      <w:pPr>
        <w:pStyle w:val="Default"/>
        <w:jc w:val="both"/>
        <w:rPr>
          <w:rFonts w:asciiTheme="minorHAnsi" w:hAnsiTheme="minorHAnsi"/>
          <w:color w:val="7F7F7F" w:themeColor="text1" w:themeTint="80"/>
          <w:sz w:val="20"/>
          <w:szCs w:val="20"/>
        </w:rPr>
      </w:pPr>
    </w:p>
    <w:p w:rsidR="00343E70" w:rsidRPr="00A8545F" w:rsidRDefault="00706056" w:rsidP="00A8545F">
      <w:pPr>
        <w:pStyle w:val="Default"/>
        <w:ind w:firstLine="708"/>
        <w:jc w:val="both"/>
        <w:rPr>
          <w:rFonts w:asciiTheme="minorHAnsi" w:hAnsiTheme="minorHAnsi"/>
          <w:color w:val="FF000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833B37" w:rsidRDefault="00833B37" w:rsidP="00833B3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C22DC8">
        <w:rPr>
          <w:rFonts w:ascii="Calibri" w:hAnsi="Calibri" w:cs="Calibri"/>
          <w:b/>
          <w:color w:val="7F7F7F" w:themeColor="text1" w:themeTint="80"/>
          <w:sz w:val="26"/>
          <w:szCs w:val="26"/>
        </w:rPr>
        <w:t>666/2015-JN</w:t>
      </w:r>
    </w:p>
    <w:p w:rsidR="00343E70" w:rsidRPr="00E447A6" w:rsidRDefault="00343E70" w:rsidP="00DB641E">
      <w:pPr>
        <w:pStyle w:val="Sangra3detindependiente"/>
        <w:ind w:left="0"/>
        <w:rPr>
          <w:rFonts w:ascii="Calibri" w:hAnsi="Calibri" w:cs="Calibri"/>
          <w:bCs/>
          <w:iCs/>
          <w:color w:val="7F7F7F" w:themeColor="text1" w:themeTint="80"/>
          <w:sz w:val="20"/>
          <w:szCs w:val="20"/>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E447A6">
        <w:rPr>
          <w:rFonts w:ascii="Calibri" w:hAnsi="Calibri" w:cs="Calibri"/>
          <w:bCs/>
          <w:iCs/>
          <w:color w:val="7F7F7F" w:themeColor="text1" w:themeTint="80"/>
          <w:sz w:val="26"/>
          <w:szCs w:val="26"/>
        </w:rPr>
        <w:t>. . . . . . . . . . . . . . . . . . . . . . . . . . . . . . . . . . . . .</w:t>
      </w:r>
    </w:p>
    <w:p w:rsidR="00833B37" w:rsidRPr="00E447A6" w:rsidRDefault="00833B37" w:rsidP="00562A66">
      <w:pPr>
        <w:pStyle w:val="CABEZAS"/>
        <w:tabs>
          <w:tab w:val="left" w:pos="1134"/>
        </w:tabs>
        <w:jc w:val="both"/>
        <w:rPr>
          <w:rFonts w:ascii="Calibri" w:hAnsi="Calibri" w:cs="Calibri"/>
          <w:b w:val="0"/>
          <w:iCs/>
          <w:color w:val="7F7F7F" w:themeColor="text1" w:themeTint="80"/>
          <w:sz w:val="20"/>
          <w:szCs w:val="20"/>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lastRenderedPageBreak/>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w:t>
      </w:r>
      <w:r w:rsidR="00E447A6">
        <w:rPr>
          <w:rFonts w:ascii="Calibri" w:hAnsi="Calibri" w:cs="Calibri"/>
          <w:b w:val="0"/>
          <w:bCs w:val="0"/>
          <w:iCs/>
          <w:color w:val="7F7F7F" w:themeColor="text1" w:themeTint="80"/>
          <w:sz w:val="26"/>
          <w:szCs w:val="26"/>
          <w:lang w:val="es-MX"/>
        </w:rPr>
        <w:t xml:space="preserve">; debe decirse que </w:t>
      </w:r>
      <w:r w:rsidR="005D15CD" w:rsidRPr="00562A66">
        <w:rPr>
          <w:rFonts w:ascii="Calibri" w:hAnsi="Calibri" w:cs="Calibri"/>
          <w:b w:val="0"/>
          <w:bCs w:val="0"/>
          <w:iCs/>
          <w:color w:val="7F7F7F" w:themeColor="text1" w:themeTint="80"/>
          <w:sz w:val="26"/>
          <w:szCs w:val="26"/>
          <w:lang w:val="es-MX"/>
        </w:rPr>
        <w:t>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sidR="00E447A6">
        <w:rPr>
          <w:rFonts w:ascii="Calibri" w:hAnsi="Calibri" w:cs="Calibri"/>
          <w:b w:val="0"/>
          <w:bCs w:val="0"/>
          <w:iCs/>
          <w:color w:val="7F7F7F" w:themeColor="text1" w:themeTint="80"/>
          <w:sz w:val="26"/>
          <w:szCs w:val="26"/>
          <w:lang w:val="es-MX"/>
        </w:rPr>
        <w:t xml:space="preserve">. . . . . . </w:t>
      </w:r>
    </w:p>
    <w:p w:rsidR="009E15DC" w:rsidRPr="00E447A6" w:rsidRDefault="009E15DC" w:rsidP="00C46636">
      <w:pPr>
        <w:jc w:val="both"/>
        <w:rPr>
          <w:rFonts w:ascii="Calibri" w:hAnsi="Calibri" w:cs="Calibri"/>
          <w:bCs/>
          <w:iCs/>
          <w:color w:val="767171" w:themeColor="background2" w:themeShade="80"/>
          <w:sz w:val="20"/>
          <w:szCs w:val="20"/>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Pr="00E447A6" w:rsidRDefault="00AC308A" w:rsidP="00C46636">
      <w:pPr>
        <w:jc w:val="both"/>
        <w:rPr>
          <w:rFonts w:ascii="Calibri" w:hAnsi="Calibri" w:cs="Calibri"/>
          <w:bCs/>
          <w:iCs/>
          <w:color w:val="7F7F7F" w:themeColor="text1" w:themeTint="80"/>
          <w:sz w:val="20"/>
          <w:szCs w:val="20"/>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E447A6" w:rsidRDefault="003D0B6B" w:rsidP="00C46636">
      <w:pPr>
        <w:jc w:val="both"/>
        <w:rPr>
          <w:rFonts w:ascii="Calibri" w:hAnsi="Calibri" w:cs="Calibri"/>
          <w:bCs/>
          <w:iCs/>
          <w:color w:val="7F7F7F" w:themeColor="text1" w:themeTint="80"/>
          <w:sz w:val="20"/>
          <w:szCs w:val="20"/>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0B4397">
        <w:rPr>
          <w:rFonts w:ascii="Calibri" w:hAnsi="Calibri"/>
          <w:b/>
          <w:color w:val="7F7F7F" w:themeColor="text1" w:themeTint="80"/>
          <w:sz w:val="26"/>
          <w:szCs w:val="26"/>
        </w:rPr>
        <w:t>19 diecinueve de julio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0B4397">
        <w:rPr>
          <w:rFonts w:ascii="Calibri" w:hAnsi="Calibri"/>
          <w:b/>
          <w:color w:val="7F7F7F" w:themeColor="text1" w:themeTint="80"/>
          <w:sz w:val="26"/>
          <w:szCs w:val="26"/>
        </w:rPr>
        <w:t>0436</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por derivar de la misma,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FC2859">
        <w:rPr>
          <w:rFonts w:ascii="Calibri" w:hAnsi="Calibri"/>
          <w:bCs/>
          <w:color w:val="7F7F7F" w:themeColor="text1" w:themeTint="80"/>
          <w:sz w:val="26"/>
          <w:szCs w:val="26"/>
        </w:rPr>
        <w:t xml:space="preserve">y cualquier otro </w:t>
      </w:r>
      <w:r w:rsidR="00E447A6">
        <w:rPr>
          <w:rFonts w:ascii="Calibri" w:hAnsi="Calibri"/>
          <w:bCs/>
          <w:color w:val="7F7F7F" w:themeColor="text1" w:themeTint="80"/>
          <w:sz w:val="26"/>
          <w:szCs w:val="26"/>
        </w:rPr>
        <w:t xml:space="preserve">acto </w:t>
      </w:r>
      <w:r w:rsidR="00FC2859">
        <w:rPr>
          <w:rFonts w:ascii="Calibri" w:hAnsi="Calibri"/>
          <w:bCs/>
          <w:color w:val="7F7F7F" w:themeColor="text1" w:themeTint="80"/>
          <w:sz w:val="26"/>
          <w:szCs w:val="26"/>
        </w:rPr>
        <w:t xml:space="preserve">posterior, como lo </w:t>
      </w:r>
      <w:r w:rsidR="00E447A6">
        <w:rPr>
          <w:rFonts w:ascii="Calibri" w:hAnsi="Calibri"/>
          <w:bCs/>
          <w:color w:val="7F7F7F" w:themeColor="text1" w:themeTint="80"/>
          <w:sz w:val="26"/>
          <w:szCs w:val="26"/>
        </w:rPr>
        <w:t>e</w:t>
      </w:r>
      <w:r w:rsidR="00FC2859">
        <w:rPr>
          <w:rFonts w:ascii="Calibri" w:hAnsi="Calibri"/>
          <w:bCs/>
          <w:color w:val="7F7F7F" w:themeColor="text1" w:themeTint="80"/>
          <w:sz w:val="26"/>
          <w:szCs w:val="26"/>
        </w:rPr>
        <w:t xml:space="preserve">s la </w:t>
      </w:r>
      <w:r w:rsidR="00FC2859" w:rsidRPr="00FC2859">
        <w:rPr>
          <w:rFonts w:ascii="Calibri" w:hAnsi="Calibri"/>
          <w:b/>
          <w:bCs/>
          <w:color w:val="7F7F7F" w:themeColor="text1" w:themeTint="80"/>
          <w:sz w:val="26"/>
          <w:szCs w:val="26"/>
        </w:rPr>
        <w:t xml:space="preserve">resolución </w:t>
      </w:r>
      <w:r w:rsidR="00FC2859">
        <w:rPr>
          <w:rFonts w:ascii="Calibri" w:hAnsi="Calibri"/>
          <w:bCs/>
          <w:color w:val="7F7F7F" w:themeColor="text1" w:themeTint="80"/>
          <w:sz w:val="26"/>
          <w:szCs w:val="26"/>
        </w:rPr>
        <w:t xml:space="preserve">de fecha </w:t>
      </w:r>
      <w:r w:rsidR="00FC2859" w:rsidRPr="00FC2859">
        <w:rPr>
          <w:rFonts w:ascii="Calibri" w:hAnsi="Calibri"/>
          <w:b/>
          <w:bCs/>
          <w:color w:val="7F7F7F" w:themeColor="text1" w:themeTint="80"/>
          <w:sz w:val="26"/>
          <w:szCs w:val="26"/>
        </w:rPr>
        <w:t>27</w:t>
      </w:r>
      <w:r w:rsidR="00FC2859">
        <w:rPr>
          <w:rFonts w:ascii="Calibri" w:hAnsi="Calibri"/>
          <w:bCs/>
          <w:color w:val="7F7F7F" w:themeColor="text1" w:themeTint="80"/>
          <w:sz w:val="26"/>
          <w:szCs w:val="26"/>
        </w:rPr>
        <w:t xml:space="preserve"> veintisiete de </w:t>
      </w:r>
      <w:r w:rsidR="00FC2859" w:rsidRPr="00FC2859">
        <w:rPr>
          <w:rFonts w:ascii="Calibri" w:hAnsi="Calibri"/>
          <w:b/>
          <w:bCs/>
          <w:color w:val="7F7F7F" w:themeColor="text1" w:themeTint="80"/>
          <w:sz w:val="26"/>
          <w:szCs w:val="26"/>
        </w:rPr>
        <w:t>julio</w:t>
      </w:r>
      <w:r w:rsidR="00FC2859">
        <w:rPr>
          <w:rFonts w:ascii="Calibri" w:hAnsi="Calibri"/>
          <w:bCs/>
          <w:color w:val="7F7F7F" w:themeColor="text1" w:themeTint="80"/>
          <w:sz w:val="26"/>
          <w:szCs w:val="26"/>
        </w:rPr>
        <w:t xml:space="preserve"> del mismo año </w:t>
      </w:r>
      <w:r w:rsidR="00FC2859" w:rsidRPr="00FC2859">
        <w:rPr>
          <w:rFonts w:ascii="Calibri" w:hAnsi="Calibri"/>
          <w:b/>
          <w:bCs/>
          <w:color w:val="7F7F7F" w:themeColor="text1" w:themeTint="80"/>
          <w:sz w:val="26"/>
          <w:szCs w:val="26"/>
        </w:rPr>
        <w:t>2015</w:t>
      </w:r>
      <w:r w:rsidR="00FC2859">
        <w:rPr>
          <w:rFonts w:ascii="Calibri" w:hAnsi="Calibri"/>
          <w:bCs/>
          <w:color w:val="7F7F7F" w:themeColor="text1" w:themeTint="80"/>
          <w:sz w:val="26"/>
          <w:szCs w:val="26"/>
        </w:rPr>
        <w:t xml:space="preserve"> dos mil quince,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E447A6">
        <w:rPr>
          <w:rFonts w:ascii="Calibri" w:hAnsi="Calibri"/>
          <w:color w:val="7F7F7F" w:themeColor="text1" w:themeTint="80"/>
          <w:sz w:val="26"/>
          <w:szCs w:val="27"/>
        </w:rPr>
        <w:t xml:space="preserve">. . . . . . . . . . . . . . . . . . . . . . . . . . . . . . . . . . . . . . . . . . . </w:t>
      </w:r>
    </w:p>
    <w:p w:rsidR="00FA04C4" w:rsidRPr="00E447A6" w:rsidRDefault="00FA04C4" w:rsidP="006E5AA9">
      <w:pPr>
        <w:ind w:firstLine="708"/>
        <w:jc w:val="both"/>
        <w:rPr>
          <w:rFonts w:ascii="Calibri" w:hAnsi="Calibri"/>
          <w:color w:val="7F7F7F" w:themeColor="text1" w:themeTint="80"/>
          <w:sz w:val="20"/>
          <w:szCs w:val="20"/>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E447A6" w:rsidRDefault="004B3DFC" w:rsidP="00FA04C4">
      <w:pPr>
        <w:jc w:val="both"/>
        <w:rPr>
          <w:rFonts w:ascii="Calibri" w:hAnsi="Calibri"/>
          <w:color w:val="7F7F7F" w:themeColor="text1" w:themeTint="80"/>
          <w:sz w:val="20"/>
          <w:szCs w:val="20"/>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E447A6" w:rsidRDefault="004B3DFC" w:rsidP="004B3DFC">
      <w:pPr>
        <w:autoSpaceDE w:val="0"/>
        <w:autoSpaceDN w:val="0"/>
        <w:adjustRightInd w:val="0"/>
        <w:rPr>
          <w:rFonts w:ascii="Calibri" w:hAnsi="Calibri" w:cs="Arial"/>
          <w:color w:val="7F7F7F" w:themeColor="text1" w:themeTint="80"/>
          <w:sz w:val="20"/>
          <w:szCs w:val="20"/>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Pr="00E447A6" w:rsidRDefault="00F54858" w:rsidP="00FA04C4">
      <w:pPr>
        <w:autoSpaceDE w:val="0"/>
        <w:autoSpaceDN w:val="0"/>
        <w:adjustRightInd w:val="0"/>
        <w:ind w:firstLine="708"/>
        <w:jc w:val="both"/>
        <w:rPr>
          <w:rFonts w:ascii="Calibri" w:hAnsi="Calibri"/>
          <w:color w:val="7F7F7F" w:themeColor="text1" w:themeTint="80"/>
          <w:sz w:val="20"/>
          <w:szCs w:val="20"/>
          <w:lang w:val="es-MX" w:eastAsia="es-MX"/>
        </w:rPr>
      </w:pPr>
    </w:p>
    <w:p w:rsidR="00E447A6" w:rsidRDefault="00F54858" w:rsidP="00E447A6">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 xml:space="preserve">l local </w:t>
      </w:r>
    </w:p>
    <w:p w:rsidR="00E447A6" w:rsidRDefault="00E447A6" w:rsidP="00E447A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666/2015-JN</w:t>
      </w:r>
    </w:p>
    <w:p w:rsidR="00E447A6" w:rsidRPr="00E447A6" w:rsidRDefault="00E447A6" w:rsidP="00E447A6">
      <w:pPr>
        <w:pStyle w:val="Textoindependiente"/>
        <w:ind w:firstLine="708"/>
        <w:rPr>
          <w:rFonts w:ascii="Calibri" w:hAnsi="Calibri" w:cs="Arial"/>
          <w:color w:val="7F7F7F" w:themeColor="text1" w:themeTint="80"/>
          <w:sz w:val="20"/>
          <w:szCs w:val="20"/>
          <w:lang w:val="es-ES"/>
        </w:rPr>
      </w:pPr>
    </w:p>
    <w:p w:rsidR="00A32EE2" w:rsidRDefault="00FE6FD0" w:rsidP="00E447A6">
      <w:pPr>
        <w:pStyle w:val="Textoindependiente"/>
        <w:rPr>
          <w:rFonts w:ascii="Calibri" w:hAnsi="Calibri" w:cs="Arial"/>
          <w:color w:val="7F7F7F" w:themeColor="text1" w:themeTint="80"/>
          <w:sz w:val="26"/>
          <w:szCs w:val="26"/>
        </w:rPr>
      </w:pPr>
      <w:r>
        <w:rPr>
          <w:rFonts w:ascii="Calibri" w:hAnsi="Calibri" w:cs="Arial"/>
          <w:color w:val="7F7F7F" w:themeColor="text1" w:themeTint="80"/>
          <w:sz w:val="26"/>
          <w:szCs w:val="26"/>
        </w:rPr>
        <w:t>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w:t>
      </w:r>
      <w:r w:rsidR="00E447A6">
        <w:rPr>
          <w:rFonts w:ascii="Calibri" w:hAnsi="Calibri" w:cs="Arial"/>
          <w:color w:val="7F7F7F" w:themeColor="text1" w:themeTint="80"/>
          <w:sz w:val="26"/>
          <w:szCs w:val="26"/>
        </w:rPr>
        <w:t>;</w:t>
      </w:r>
      <w:r w:rsidR="00A32EE2" w:rsidRPr="00A32EE2">
        <w:rPr>
          <w:rFonts w:ascii="Calibri" w:hAnsi="Calibri" w:cs="Arial"/>
          <w:color w:val="7F7F7F" w:themeColor="text1" w:themeTint="80"/>
          <w:sz w:val="26"/>
          <w:szCs w:val="26"/>
        </w:rPr>
        <w:t xml:space="preserve">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p>
    <w:p w:rsidR="007D6748" w:rsidRPr="00E447A6" w:rsidRDefault="007D6748" w:rsidP="009A23DB">
      <w:pPr>
        <w:pStyle w:val="Textoindependiente"/>
        <w:rPr>
          <w:rFonts w:ascii="Calibri" w:hAnsi="Calibri" w:cs="Arial"/>
          <w:color w:val="7F7F7F" w:themeColor="text1" w:themeTint="80"/>
          <w:sz w:val="20"/>
          <w:szCs w:val="20"/>
        </w:rPr>
      </w:pPr>
    </w:p>
    <w:p w:rsidR="007D6748" w:rsidRPr="007D6748" w:rsidRDefault="007D6748" w:rsidP="007D6748">
      <w:pPr>
        <w:pStyle w:val="Textoindependiente"/>
        <w:ind w:firstLine="708"/>
        <w:rPr>
          <w:rFonts w:ascii="Calibri" w:hAnsi="Calibri" w:cs="Arial"/>
          <w:color w:val="7F7F7F" w:themeColor="text1" w:themeTint="80"/>
          <w:sz w:val="26"/>
          <w:szCs w:val="26"/>
        </w:rPr>
      </w:pPr>
      <w:r w:rsidRPr="007D6748">
        <w:rPr>
          <w:rFonts w:ascii="Calibri" w:hAnsi="Calibri" w:cs="Arial"/>
          <w:color w:val="7F7F7F" w:themeColor="text1" w:themeTint="80"/>
          <w:sz w:val="26"/>
          <w:szCs w:val="26"/>
        </w:rPr>
        <w:t>Por último, en relación a las excepciones y defensas que op</w:t>
      </w:r>
      <w:r w:rsidR="00E447A6">
        <w:rPr>
          <w:rFonts w:ascii="Calibri" w:hAnsi="Calibri" w:cs="Arial"/>
          <w:color w:val="7F7F7F" w:themeColor="text1" w:themeTint="80"/>
          <w:sz w:val="26"/>
          <w:szCs w:val="26"/>
        </w:rPr>
        <w:t>usieron</w:t>
      </w:r>
      <w:r w:rsidRPr="007D6748">
        <w:rPr>
          <w:rFonts w:ascii="Calibri" w:hAnsi="Calibri" w:cs="Arial"/>
          <w:color w:val="7F7F7F" w:themeColor="text1" w:themeTint="80"/>
          <w:sz w:val="26"/>
          <w:szCs w:val="26"/>
        </w:rPr>
        <w:t xml:space="preserve">, tanto el Director General de Fiscalización y Control como el inspector demandados, se  expresa lo siguiente: . . . . . . . . . . . . . . . . . . . </w:t>
      </w:r>
      <w:r w:rsidR="00E447A6">
        <w:rPr>
          <w:rFonts w:ascii="Calibri" w:hAnsi="Calibri" w:cs="Arial"/>
          <w:color w:val="7F7F7F" w:themeColor="text1" w:themeTint="80"/>
          <w:sz w:val="26"/>
          <w:szCs w:val="26"/>
        </w:rPr>
        <w:t xml:space="preserve">. . . . . . . . . . . . . . . . . . . . . . . . . . . . . . . . </w:t>
      </w:r>
    </w:p>
    <w:p w:rsidR="007D6748" w:rsidRPr="00E447A6" w:rsidRDefault="007D6748" w:rsidP="007D6748">
      <w:pPr>
        <w:pStyle w:val="Textoindependiente"/>
        <w:rPr>
          <w:rFonts w:ascii="Calibri" w:hAnsi="Calibri"/>
          <w:color w:val="000000" w:themeColor="text1"/>
          <w:sz w:val="20"/>
          <w:szCs w:val="20"/>
          <w:lang w:eastAsia="es-MX"/>
        </w:rPr>
      </w:pPr>
    </w:p>
    <w:p w:rsidR="007D6748" w:rsidRPr="00E447A6" w:rsidRDefault="007D6748" w:rsidP="007D6748">
      <w:pPr>
        <w:pStyle w:val="Textoindependiente"/>
        <w:ind w:firstLine="708"/>
        <w:rPr>
          <w:rFonts w:ascii="Calibri" w:hAnsi="Calibri"/>
          <w:color w:val="767171" w:themeColor="background2" w:themeShade="80"/>
          <w:sz w:val="26"/>
          <w:szCs w:val="26"/>
          <w:lang w:eastAsia="es-MX"/>
        </w:rPr>
      </w:pPr>
      <w:r w:rsidRPr="00E447A6">
        <w:rPr>
          <w:rFonts w:ascii="Calibri" w:hAnsi="Calibri"/>
          <w:color w:val="767171" w:themeColor="background2" w:themeShade="80"/>
          <w:sz w:val="26"/>
          <w:szCs w:val="26"/>
          <w:lang w:eastAsia="es-MX"/>
        </w:rPr>
        <w:lastRenderedPageBreak/>
        <w:t xml:space="preserve">a).- Tocante a la excepción de </w:t>
      </w:r>
      <w:r w:rsidR="00E447A6">
        <w:rPr>
          <w:rFonts w:ascii="Calibri" w:hAnsi="Calibri"/>
          <w:i/>
          <w:color w:val="767171" w:themeColor="background2" w:themeShade="80"/>
          <w:sz w:val="26"/>
          <w:szCs w:val="26"/>
          <w:lang w:eastAsia="es-MX"/>
        </w:rPr>
        <w:t>“Improcedencia”;</w:t>
      </w:r>
      <w:r w:rsidRPr="00E447A6">
        <w:rPr>
          <w:rFonts w:ascii="Calibri" w:hAnsi="Calibri"/>
          <w:color w:val="767171" w:themeColor="background2" w:themeShade="80"/>
          <w:sz w:val="26"/>
          <w:szCs w:val="26"/>
          <w:lang w:eastAsia="es-MX"/>
        </w:rPr>
        <w:t xml:space="preserve"> no opera la misma, pues de acuerdo a lo razonado en el considerando Cuarto quedó plenamente establecida la procedencia del presente proceso. . . . . . . . . . . . . . . . . . . . . . . . . . . .</w:t>
      </w:r>
      <w:r w:rsidR="00E447A6">
        <w:rPr>
          <w:rFonts w:ascii="Calibri" w:hAnsi="Calibri"/>
          <w:color w:val="767171" w:themeColor="background2" w:themeShade="80"/>
          <w:sz w:val="26"/>
          <w:szCs w:val="26"/>
          <w:lang w:eastAsia="es-MX"/>
        </w:rPr>
        <w:t xml:space="preserve"> </w:t>
      </w:r>
    </w:p>
    <w:p w:rsidR="007D6748" w:rsidRPr="00E447A6" w:rsidRDefault="007D6748" w:rsidP="007D6748">
      <w:pPr>
        <w:pStyle w:val="Textoindependiente"/>
        <w:rPr>
          <w:rFonts w:ascii="Calibri" w:hAnsi="Calibri"/>
          <w:color w:val="000000" w:themeColor="text1"/>
          <w:sz w:val="20"/>
          <w:szCs w:val="20"/>
          <w:lang w:eastAsia="es-MX"/>
        </w:rPr>
      </w:pPr>
    </w:p>
    <w:p w:rsidR="007D6748" w:rsidRPr="00E447A6" w:rsidRDefault="007D6748" w:rsidP="007D6748">
      <w:pPr>
        <w:pStyle w:val="Textoindependiente"/>
        <w:rPr>
          <w:rFonts w:ascii="Calibri" w:hAnsi="Calibri"/>
          <w:color w:val="767171" w:themeColor="background2" w:themeShade="80"/>
          <w:sz w:val="26"/>
          <w:szCs w:val="26"/>
          <w:lang w:eastAsia="es-MX"/>
        </w:rPr>
      </w:pPr>
      <w:r w:rsidRPr="00E447A6">
        <w:rPr>
          <w:rFonts w:ascii="Calibri" w:hAnsi="Calibri"/>
          <w:color w:val="767171" w:themeColor="background2" w:themeShade="80"/>
          <w:sz w:val="26"/>
          <w:szCs w:val="26"/>
          <w:lang w:eastAsia="es-MX"/>
        </w:rPr>
        <w:tab/>
        <w:t xml:space="preserve">b).- En cuanto a la excepción de </w:t>
      </w:r>
      <w:r w:rsidRPr="00504989">
        <w:rPr>
          <w:rFonts w:ascii="Calibri" w:hAnsi="Calibri"/>
          <w:i/>
          <w:color w:val="767171" w:themeColor="background2" w:themeShade="80"/>
          <w:sz w:val="26"/>
          <w:szCs w:val="26"/>
          <w:lang w:eastAsia="es-MX"/>
        </w:rPr>
        <w:t>“Falta de Acción y Carencia de Derecho”</w:t>
      </w:r>
      <w:r w:rsidRPr="00E447A6">
        <w:rPr>
          <w:rFonts w:ascii="Calibri" w:hAnsi="Calibri"/>
          <w:color w:val="767171" w:themeColor="background2" w:themeShade="80"/>
          <w:sz w:val="26"/>
          <w:szCs w:val="26"/>
          <w:lang w:eastAsia="es-MX"/>
        </w:rPr>
        <w:t xml:space="preserve">, tampoco opera como excepción, pues está claro que la ciudadana </w:t>
      </w:r>
      <w:r w:rsidR="00291A74">
        <w:rPr>
          <w:rFonts w:ascii="Calibri" w:hAnsi="Calibri"/>
          <w:color w:val="767171" w:themeColor="background2" w:themeShade="80"/>
          <w:sz w:val="26"/>
          <w:szCs w:val="26"/>
          <w:lang w:eastAsia="es-MX"/>
        </w:rPr>
        <w:t>*****</w:t>
      </w:r>
      <w:r w:rsidRPr="00E447A6">
        <w:rPr>
          <w:rFonts w:ascii="Calibri" w:hAnsi="Calibri"/>
          <w:color w:val="767171" w:themeColor="background2" w:themeShade="80"/>
          <w:sz w:val="26"/>
          <w:szCs w:val="26"/>
          <w:lang w:eastAsia="es-MX"/>
        </w:rPr>
        <w:t xml:space="preserve"> al ser afectada en sus derechos por los actos que impugna, como ha quedado e</w:t>
      </w:r>
      <w:r w:rsidR="00504989">
        <w:rPr>
          <w:rFonts w:ascii="Calibri" w:hAnsi="Calibri"/>
          <w:color w:val="767171" w:themeColor="background2" w:themeShade="80"/>
          <w:sz w:val="26"/>
          <w:szCs w:val="26"/>
          <w:lang w:eastAsia="es-MX"/>
        </w:rPr>
        <w:t>stablecido en este considerando;</w:t>
      </w:r>
      <w:r w:rsidRPr="00E447A6">
        <w:rPr>
          <w:rFonts w:ascii="Calibri" w:hAnsi="Calibri"/>
          <w:color w:val="767171" w:themeColor="background2" w:themeShade="80"/>
          <w:sz w:val="26"/>
          <w:szCs w:val="26"/>
          <w:lang w:eastAsia="es-MX"/>
        </w:rPr>
        <w:t xml:space="preserve">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la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Cuarto de este fallo, aunado a que la actora pretende la nulidad de los actos impugnados, lo que en la especie ya se dio. . . . . </w:t>
      </w:r>
      <w:r w:rsidR="00504989">
        <w:rPr>
          <w:rFonts w:ascii="Calibri" w:hAnsi="Calibri"/>
          <w:color w:val="767171" w:themeColor="background2" w:themeShade="80"/>
          <w:sz w:val="26"/>
          <w:szCs w:val="26"/>
          <w:lang w:eastAsia="es-MX"/>
        </w:rPr>
        <w:t xml:space="preserve">. </w:t>
      </w:r>
      <w:r w:rsidRPr="00E447A6">
        <w:rPr>
          <w:rFonts w:ascii="Calibri" w:hAnsi="Calibri"/>
          <w:color w:val="767171" w:themeColor="background2" w:themeShade="80"/>
          <w:sz w:val="26"/>
          <w:szCs w:val="26"/>
          <w:lang w:eastAsia="es-MX"/>
        </w:rPr>
        <w:t xml:space="preserve">      </w:t>
      </w:r>
    </w:p>
    <w:p w:rsidR="007D6748" w:rsidRPr="00504989" w:rsidRDefault="007D6748" w:rsidP="007D6748">
      <w:pPr>
        <w:pStyle w:val="Textoindependiente"/>
        <w:rPr>
          <w:rFonts w:ascii="Calibri" w:hAnsi="Calibri"/>
          <w:color w:val="000000" w:themeColor="text1"/>
          <w:sz w:val="20"/>
          <w:szCs w:val="20"/>
          <w:lang w:eastAsia="es-MX"/>
        </w:rPr>
      </w:pPr>
    </w:p>
    <w:p w:rsidR="007D6748" w:rsidRPr="00504989" w:rsidRDefault="007D6748" w:rsidP="007D6748">
      <w:pPr>
        <w:pStyle w:val="Textoindependiente"/>
        <w:ind w:firstLine="708"/>
        <w:rPr>
          <w:rFonts w:ascii="Calibri" w:hAnsi="Calibri"/>
          <w:color w:val="767171" w:themeColor="background2" w:themeShade="80"/>
          <w:sz w:val="26"/>
          <w:szCs w:val="26"/>
          <w:lang w:eastAsia="es-MX"/>
        </w:rPr>
      </w:pPr>
      <w:r w:rsidRPr="00504989">
        <w:rPr>
          <w:rFonts w:ascii="Calibri" w:hAnsi="Calibri"/>
          <w:color w:val="767171" w:themeColor="background2" w:themeShade="80"/>
          <w:sz w:val="26"/>
          <w:szCs w:val="26"/>
          <w:lang w:eastAsia="es-MX"/>
        </w:rPr>
        <w:t xml:space="preserve">c).- De igual manera tampoco opera la defensa de la </w:t>
      </w:r>
      <w:r w:rsidRPr="00504989">
        <w:rPr>
          <w:rFonts w:ascii="Calibri" w:hAnsi="Calibri"/>
          <w:i/>
          <w:color w:val="767171" w:themeColor="background2" w:themeShade="80"/>
          <w:sz w:val="26"/>
          <w:szCs w:val="26"/>
          <w:lang w:eastAsia="es-MX"/>
        </w:rPr>
        <w:t xml:space="preserve">“Non </w:t>
      </w:r>
      <w:proofErr w:type="spellStart"/>
      <w:r w:rsidRPr="00504989">
        <w:rPr>
          <w:rFonts w:ascii="Calibri" w:hAnsi="Calibri"/>
          <w:i/>
          <w:color w:val="767171" w:themeColor="background2" w:themeShade="80"/>
          <w:sz w:val="26"/>
          <w:szCs w:val="26"/>
          <w:lang w:eastAsia="es-MX"/>
        </w:rPr>
        <w:t>Mutati</w:t>
      </w:r>
      <w:proofErr w:type="spellEnd"/>
      <w:r w:rsidRPr="00504989">
        <w:rPr>
          <w:rFonts w:ascii="Calibri" w:hAnsi="Calibri"/>
          <w:i/>
          <w:color w:val="767171" w:themeColor="background2" w:themeShade="80"/>
          <w:sz w:val="26"/>
          <w:szCs w:val="26"/>
          <w:lang w:eastAsia="es-MX"/>
        </w:rPr>
        <w:t xml:space="preserve"> </w:t>
      </w:r>
      <w:proofErr w:type="spellStart"/>
      <w:r w:rsidRPr="00504989">
        <w:rPr>
          <w:rFonts w:ascii="Calibri" w:hAnsi="Calibri"/>
          <w:i/>
          <w:color w:val="767171" w:themeColor="background2" w:themeShade="80"/>
          <w:sz w:val="26"/>
          <w:szCs w:val="26"/>
          <w:lang w:eastAsia="es-MX"/>
        </w:rPr>
        <w:t>Libeli</w:t>
      </w:r>
      <w:proofErr w:type="spellEnd"/>
      <w:r w:rsidRPr="00504989">
        <w:rPr>
          <w:rFonts w:ascii="Calibri" w:hAnsi="Calibri"/>
          <w:i/>
          <w:color w:val="767171" w:themeColor="background2" w:themeShade="80"/>
          <w:sz w:val="26"/>
          <w:szCs w:val="26"/>
          <w:lang w:eastAsia="es-MX"/>
        </w:rPr>
        <w:t>”</w:t>
      </w:r>
      <w:r w:rsidRPr="00504989">
        <w:rPr>
          <w:rFonts w:ascii="Calibri" w:hAnsi="Calibri"/>
          <w:color w:val="767171" w:themeColor="background2" w:themeShade="80"/>
          <w:sz w:val="26"/>
          <w:szCs w:val="26"/>
          <w:lang w:eastAsia="es-MX"/>
        </w:rPr>
        <w:t>, toda vez que los demandados olvidan que en un proceso administrativo, la actora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504989">
        <w:rPr>
          <w:rFonts w:ascii="Calibri" w:hAnsi="Calibri"/>
          <w:color w:val="767171" w:themeColor="background2" w:themeShade="80"/>
          <w:sz w:val="26"/>
          <w:szCs w:val="26"/>
          <w:lang w:eastAsia="es-MX"/>
        </w:rPr>
        <w:t xml:space="preserve"> . . . . . . . . . . . . . . . . . . . . . . . . . . . . . . . . .</w:t>
      </w:r>
    </w:p>
    <w:p w:rsidR="002974BB" w:rsidRPr="00504989" w:rsidRDefault="00F54858" w:rsidP="009A23DB">
      <w:pPr>
        <w:pStyle w:val="Textoindependiente"/>
        <w:ind w:firstLine="708"/>
        <w:rPr>
          <w:rFonts w:ascii="Calibri" w:hAnsi="Calibri" w:cs="Arial"/>
          <w:color w:val="7F7F7F" w:themeColor="text1" w:themeTint="80"/>
          <w:sz w:val="20"/>
          <w:szCs w:val="20"/>
        </w:rPr>
      </w:pPr>
      <w:r w:rsidRPr="00F54858">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504989">
        <w:rPr>
          <w:rFonts w:ascii="Calibri" w:hAnsi="Calibri" w:cs="Arial"/>
          <w:color w:val="7F7F7F" w:themeColor="text1" w:themeTint="80"/>
          <w:sz w:val="26"/>
          <w:szCs w:val="26"/>
        </w:rPr>
        <w:t xml:space="preserve">. . . . . . . . . . . . . . . </w:t>
      </w:r>
    </w:p>
    <w:p w:rsidR="004B3DFC" w:rsidRPr="00504989" w:rsidRDefault="004B3DFC" w:rsidP="004B3DFC">
      <w:pPr>
        <w:pStyle w:val="Textoindependiente"/>
        <w:ind w:firstLine="708"/>
        <w:rPr>
          <w:rFonts w:ascii="Calibri" w:hAnsi="Calibri" w:cs="Arial"/>
          <w:color w:val="7F7F7F" w:themeColor="text1" w:themeTint="80"/>
          <w:sz w:val="20"/>
          <w:szCs w:val="20"/>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504989" w:rsidRDefault="00FA04C4" w:rsidP="004B3DFC">
      <w:pPr>
        <w:pStyle w:val="Textoindependiente"/>
        <w:ind w:firstLine="708"/>
        <w:rPr>
          <w:rFonts w:ascii="Calibri" w:hAnsi="Calibri"/>
          <w:b/>
          <w:bCs/>
          <w:i/>
          <w:iCs/>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0B4397">
        <w:rPr>
          <w:rFonts w:ascii="Calibri" w:hAnsi="Calibri"/>
          <w:color w:val="7F7F7F" w:themeColor="text1" w:themeTint="80"/>
          <w:sz w:val="26"/>
          <w:szCs w:val="26"/>
        </w:rPr>
        <w:t>19 diecinueve de julio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504989">
        <w:rPr>
          <w:rFonts w:ascii="Calibri" w:hAnsi="Calibri"/>
          <w:i/>
          <w:iCs/>
          <w:color w:val="7F7F7F" w:themeColor="text1" w:themeTint="80"/>
          <w:sz w:val="26"/>
          <w:szCs w:val="26"/>
        </w:rPr>
        <w:t xml:space="preserve">. . . . . . . . . . . . . . . . . . . . . . . . . . . . . . . . . . . . . . . . . . . . . . . . . . . . . . . . . . </w:t>
      </w:r>
    </w:p>
    <w:p w:rsidR="004B3DFC" w:rsidRPr="00504989" w:rsidRDefault="004B3DFC" w:rsidP="004B3DFC">
      <w:pPr>
        <w:ind w:firstLine="708"/>
        <w:jc w:val="both"/>
        <w:rPr>
          <w:rFonts w:ascii="Calibri" w:hAnsi="Calibri"/>
          <w:color w:val="7F7F7F" w:themeColor="text1" w:themeTint="80"/>
          <w:sz w:val="20"/>
          <w:szCs w:val="20"/>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504989">
      <w:pPr>
        <w:pStyle w:val="Textoindependiente"/>
        <w:tabs>
          <w:tab w:val="left" w:pos="6662"/>
        </w:tabs>
        <w:rPr>
          <w:rFonts w:ascii="Calibri" w:hAnsi="Calibri" w:cs="Arial"/>
          <w:color w:val="7F7F7F" w:themeColor="text1" w:themeTint="80"/>
          <w:sz w:val="18"/>
          <w:szCs w:val="18"/>
        </w:rPr>
      </w:pPr>
      <w:r w:rsidRPr="00BF5CA7">
        <w:rPr>
          <w:rFonts w:ascii="Calibri" w:hAnsi="Calibri" w:cs="Arial"/>
          <w:color w:val="7F7F7F" w:themeColor="text1" w:themeTint="80"/>
          <w:sz w:val="18"/>
          <w:szCs w:val="18"/>
        </w:rPr>
        <w:tab/>
      </w: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504989" w:rsidRDefault="008F0CF4" w:rsidP="00EA4780">
      <w:pPr>
        <w:pStyle w:val="Textoindependiente"/>
        <w:tabs>
          <w:tab w:val="left" w:pos="6662"/>
        </w:tabs>
        <w:rPr>
          <w:rFonts w:ascii="Calibri" w:hAnsi="Calibri" w:cs="Calibri"/>
          <w:bCs/>
          <w:color w:val="7F7F7F" w:themeColor="text1" w:themeTint="80"/>
          <w:sz w:val="20"/>
          <w:szCs w:val="20"/>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504989" w:rsidRDefault="004B3DFC" w:rsidP="004B3DFC">
      <w:pPr>
        <w:pStyle w:val="Textoindependiente"/>
        <w:rPr>
          <w:rFonts w:ascii="Calibri" w:hAnsi="Calibri" w:cs="Arial"/>
          <w:color w:val="7F7F7F" w:themeColor="text1" w:themeTint="80"/>
          <w:sz w:val="20"/>
          <w:szCs w:val="20"/>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04989" w:rsidRDefault="004B3DFC" w:rsidP="004B3DFC">
      <w:pPr>
        <w:jc w:val="both"/>
        <w:rPr>
          <w:rFonts w:ascii="Calibri" w:hAnsi="Calibri" w:cs="Arial"/>
          <w:b/>
          <w:bCs/>
          <w:i/>
          <w:iCs/>
          <w:color w:val="7F7F7F" w:themeColor="text1" w:themeTint="80"/>
          <w:sz w:val="20"/>
          <w:szCs w:val="20"/>
          <w:lang w:val="es-MX"/>
        </w:rPr>
      </w:pPr>
    </w:p>
    <w:p w:rsidR="004B3DFC" w:rsidRDefault="004B3DFC" w:rsidP="00504989">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291A74">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504989">
        <w:rPr>
          <w:rFonts w:ascii="Calibri" w:hAnsi="Calibri" w:cs="Arial"/>
          <w:color w:val="7F7F7F" w:themeColor="text1" w:themeTint="80"/>
          <w:sz w:val="26"/>
          <w:szCs w:val="26"/>
        </w:rPr>
        <w:t xml:space="preserve">. . . </w:t>
      </w:r>
    </w:p>
    <w:p w:rsidR="00504989" w:rsidRPr="00504989" w:rsidRDefault="00504989" w:rsidP="00504989">
      <w:pPr>
        <w:ind w:firstLine="708"/>
        <w:jc w:val="both"/>
        <w:rPr>
          <w:rFonts w:ascii="Calibri" w:hAnsi="Calibri" w:cs="Arial"/>
          <w:color w:val="7F7F7F" w:themeColor="text1" w:themeTint="80"/>
          <w:sz w:val="20"/>
          <w:szCs w:val="20"/>
        </w:rPr>
      </w:pPr>
    </w:p>
    <w:p w:rsidR="00504989" w:rsidRDefault="004B3DFC" w:rsidP="00504989">
      <w:pPr>
        <w:ind w:firstLine="708"/>
        <w:jc w:val="both"/>
        <w:rPr>
          <w:rFonts w:ascii="Calibri" w:hAnsi="Calibri"/>
          <w:bCs/>
          <w:color w:val="7F7F7F" w:themeColor="text1" w:themeTint="80"/>
          <w:sz w:val="26"/>
          <w:szCs w:val="26"/>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0B4397">
        <w:rPr>
          <w:rFonts w:ascii="Calibri" w:hAnsi="Calibri"/>
          <w:b/>
          <w:color w:val="7F7F7F" w:themeColor="text1" w:themeTint="80"/>
          <w:sz w:val="26"/>
          <w:szCs w:val="26"/>
        </w:rPr>
        <w:t>19 diecinueve de julio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0B4397">
        <w:rPr>
          <w:rFonts w:ascii="Calibri" w:hAnsi="Calibri"/>
          <w:b/>
          <w:color w:val="7F7F7F" w:themeColor="text1" w:themeTint="80"/>
          <w:sz w:val="26"/>
          <w:szCs w:val="26"/>
        </w:rPr>
        <w:t>0436</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la misma,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de la misma fecha que la de la orden de visita de inspección y con el mismo número de </w:t>
      </w:r>
    </w:p>
    <w:p w:rsidR="00504989" w:rsidRDefault="00504989" w:rsidP="0050498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666/2015-JN</w:t>
      </w:r>
    </w:p>
    <w:p w:rsidR="00504989" w:rsidRPr="00504989" w:rsidRDefault="00504989" w:rsidP="00832B72">
      <w:pPr>
        <w:ind w:firstLine="708"/>
        <w:jc w:val="both"/>
        <w:rPr>
          <w:rFonts w:ascii="Calibri" w:hAnsi="Calibri"/>
          <w:bCs/>
          <w:color w:val="7F7F7F" w:themeColor="text1" w:themeTint="80"/>
          <w:sz w:val="20"/>
          <w:szCs w:val="20"/>
        </w:rPr>
      </w:pPr>
    </w:p>
    <w:p w:rsidR="004B3DFC" w:rsidRPr="00832B72" w:rsidRDefault="00504989" w:rsidP="00504989">
      <w:pPr>
        <w:jc w:val="both"/>
        <w:rPr>
          <w:rFonts w:ascii="Calibri" w:hAnsi="Calibri"/>
          <w:color w:val="7F7F7F" w:themeColor="text1" w:themeTint="80"/>
          <w:sz w:val="26"/>
          <w:szCs w:val="27"/>
        </w:rPr>
      </w:pPr>
      <w:r w:rsidRPr="00656D08">
        <w:rPr>
          <w:rFonts w:ascii="Calibri" w:hAnsi="Calibri"/>
          <w:bCs/>
          <w:color w:val="7F7F7F" w:themeColor="text1" w:themeTint="80"/>
          <w:sz w:val="26"/>
          <w:szCs w:val="26"/>
        </w:rPr>
        <w:t>E</w:t>
      </w:r>
      <w:r w:rsidR="00656D08" w:rsidRPr="00656D08">
        <w:rPr>
          <w:rFonts w:ascii="Calibri" w:hAnsi="Calibri"/>
          <w:bCs/>
          <w:color w:val="7F7F7F" w:themeColor="text1" w:themeTint="80"/>
          <w:sz w:val="26"/>
          <w:szCs w:val="26"/>
        </w:rPr>
        <w:t>xpediente</w:t>
      </w:r>
      <w:r>
        <w:rPr>
          <w:rFonts w:ascii="Calibri" w:hAnsi="Calibri"/>
          <w:bCs/>
          <w:color w:val="7F7F7F" w:themeColor="text1" w:themeTint="80"/>
          <w:sz w:val="26"/>
          <w:szCs w:val="26"/>
        </w:rPr>
        <w:t>,</w:t>
      </w:r>
      <w:r w:rsidR="007D6748" w:rsidRPr="007D6748">
        <w:rPr>
          <w:rFonts w:ascii="Calibri" w:hAnsi="Calibri"/>
          <w:bCs/>
          <w:color w:val="7F7F7F" w:themeColor="text1" w:themeTint="80"/>
          <w:sz w:val="26"/>
          <w:szCs w:val="26"/>
        </w:rPr>
        <w:t xml:space="preserve"> </w:t>
      </w:r>
      <w:r w:rsidR="007D6748">
        <w:rPr>
          <w:rFonts w:ascii="Calibri" w:hAnsi="Calibri"/>
          <w:bCs/>
          <w:color w:val="7F7F7F" w:themeColor="text1" w:themeTint="80"/>
          <w:sz w:val="26"/>
          <w:szCs w:val="26"/>
        </w:rPr>
        <w:t xml:space="preserve">así como de la </w:t>
      </w:r>
      <w:r w:rsidR="007D6748" w:rsidRPr="00FC2859">
        <w:rPr>
          <w:rFonts w:ascii="Calibri" w:hAnsi="Calibri"/>
          <w:b/>
          <w:bCs/>
          <w:color w:val="7F7F7F" w:themeColor="text1" w:themeTint="80"/>
          <w:sz w:val="26"/>
          <w:szCs w:val="26"/>
        </w:rPr>
        <w:t xml:space="preserve">resolución </w:t>
      </w:r>
      <w:r w:rsidR="007D6748">
        <w:rPr>
          <w:rFonts w:ascii="Calibri" w:hAnsi="Calibri"/>
          <w:bCs/>
          <w:color w:val="7F7F7F" w:themeColor="text1" w:themeTint="80"/>
          <w:sz w:val="26"/>
          <w:szCs w:val="26"/>
        </w:rPr>
        <w:t xml:space="preserve">de fecha </w:t>
      </w:r>
      <w:r w:rsidR="007D6748" w:rsidRPr="00FC2859">
        <w:rPr>
          <w:rFonts w:ascii="Calibri" w:hAnsi="Calibri"/>
          <w:b/>
          <w:bCs/>
          <w:color w:val="7F7F7F" w:themeColor="text1" w:themeTint="80"/>
          <w:sz w:val="26"/>
          <w:szCs w:val="26"/>
        </w:rPr>
        <w:t>27</w:t>
      </w:r>
      <w:r w:rsidR="007D6748">
        <w:rPr>
          <w:rFonts w:ascii="Calibri" w:hAnsi="Calibri"/>
          <w:bCs/>
          <w:color w:val="7F7F7F" w:themeColor="text1" w:themeTint="80"/>
          <w:sz w:val="26"/>
          <w:szCs w:val="26"/>
        </w:rPr>
        <w:t xml:space="preserve"> veintisiete de </w:t>
      </w:r>
      <w:r w:rsidR="007D6748" w:rsidRPr="00FC2859">
        <w:rPr>
          <w:rFonts w:ascii="Calibri" w:hAnsi="Calibri"/>
          <w:b/>
          <w:bCs/>
          <w:color w:val="7F7F7F" w:themeColor="text1" w:themeTint="80"/>
          <w:sz w:val="26"/>
          <w:szCs w:val="26"/>
        </w:rPr>
        <w:t>julio</w:t>
      </w:r>
      <w:r w:rsidR="007D6748">
        <w:rPr>
          <w:rFonts w:ascii="Calibri" w:hAnsi="Calibri"/>
          <w:bCs/>
          <w:color w:val="7F7F7F" w:themeColor="text1" w:themeTint="80"/>
          <w:sz w:val="26"/>
          <w:szCs w:val="26"/>
        </w:rPr>
        <w:t xml:space="preserve"> del mismo año </w:t>
      </w:r>
      <w:r w:rsidR="007D6748" w:rsidRPr="00FC2859">
        <w:rPr>
          <w:rFonts w:ascii="Calibri" w:hAnsi="Calibri"/>
          <w:b/>
          <w:bCs/>
          <w:color w:val="7F7F7F" w:themeColor="text1" w:themeTint="80"/>
          <w:sz w:val="26"/>
          <w:szCs w:val="26"/>
        </w:rPr>
        <w:t>2015</w:t>
      </w:r>
      <w:r w:rsidR="007D6748">
        <w:rPr>
          <w:rFonts w:ascii="Calibri" w:hAnsi="Calibri"/>
          <w:bCs/>
          <w:color w:val="7F7F7F" w:themeColor="text1" w:themeTint="80"/>
          <w:sz w:val="26"/>
          <w:szCs w:val="26"/>
        </w:rPr>
        <w:t xml:space="preserve"> dos mil quince</w:t>
      </w:r>
      <w:r w:rsidR="004B3DFC" w:rsidRPr="00BF5CA7">
        <w:rPr>
          <w:rFonts w:ascii="Calibri" w:hAnsi="Calibri"/>
          <w:bCs/>
          <w:color w:val="7F7F7F" w:themeColor="text1" w:themeTint="80"/>
          <w:sz w:val="26"/>
          <w:szCs w:val="26"/>
        </w:rPr>
        <w:t xml:space="preserve">; </w:t>
      </w:r>
      <w:r w:rsidR="004B3DFC"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xml:space="preserve">. . . . . . . . . . . </w:t>
      </w:r>
    </w:p>
    <w:p w:rsidR="004B3DFC" w:rsidRPr="00504989" w:rsidRDefault="004B3DFC" w:rsidP="004B3DFC">
      <w:pPr>
        <w:pStyle w:val="Textoindependiente"/>
        <w:rPr>
          <w:rFonts w:ascii="Calibri" w:hAnsi="Calibri" w:cs="Calibri"/>
          <w:color w:val="7F7F7F" w:themeColor="text1" w:themeTint="80"/>
          <w:sz w:val="20"/>
          <w:szCs w:val="20"/>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0B4397">
        <w:rPr>
          <w:rFonts w:ascii="Calibri" w:hAnsi="Calibri"/>
          <w:color w:val="7F7F7F" w:themeColor="text1" w:themeTint="80"/>
          <w:sz w:val="26"/>
          <w:szCs w:val="26"/>
        </w:rPr>
        <w:t>19 diecinueve de julio</w:t>
      </w:r>
      <w:r w:rsidR="008E0AB6" w:rsidRPr="00BF5CA7">
        <w:rPr>
          <w:rFonts w:ascii="Calibri" w:hAnsi="Calibri"/>
          <w:color w:val="7F7F7F" w:themeColor="text1" w:themeTint="80"/>
          <w:sz w:val="26"/>
          <w:szCs w:val="26"/>
        </w:rPr>
        <w:t xml:space="preserve"> del año 2015 dos mil quince, sobre 1 una máquina </w:t>
      </w:r>
      <w:r w:rsidR="008E0AB6">
        <w:rPr>
          <w:rFonts w:ascii="Calibri" w:hAnsi="Calibri"/>
          <w:color w:val="7F7F7F" w:themeColor="text1" w:themeTint="80"/>
          <w:sz w:val="26"/>
          <w:szCs w:val="26"/>
        </w:rPr>
        <w:t xml:space="preserve">electrónica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calle </w:t>
      </w:r>
      <w:r w:rsidR="00FC2859">
        <w:rPr>
          <w:rFonts w:ascii="Calibri" w:hAnsi="Calibri"/>
          <w:color w:val="7F7F7F" w:themeColor="text1" w:themeTint="80"/>
          <w:sz w:val="26"/>
          <w:szCs w:val="26"/>
        </w:rPr>
        <w:t>Rio Mayo</w:t>
      </w:r>
      <w:r w:rsidR="00012BEF">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 xml:space="preserve">número </w:t>
      </w:r>
      <w:r w:rsidR="00FC2859">
        <w:rPr>
          <w:rFonts w:ascii="Calibri" w:hAnsi="Calibri"/>
          <w:color w:val="7F7F7F" w:themeColor="text1" w:themeTint="80"/>
          <w:sz w:val="26"/>
          <w:szCs w:val="26"/>
        </w:rPr>
        <w:t>7411-C siete mil cuatrocientos once guion C</w:t>
      </w:r>
      <w:r w:rsidR="008E0AB6" w:rsidRPr="00BF5CA7">
        <w:rPr>
          <w:rFonts w:ascii="Calibri" w:hAnsi="Calibri"/>
          <w:color w:val="7F7F7F" w:themeColor="text1" w:themeTint="80"/>
          <w:sz w:val="26"/>
          <w:szCs w:val="26"/>
        </w:rPr>
        <w:t xml:space="preserve"> de la colonia </w:t>
      </w:r>
      <w:r w:rsidR="00FC2859">
        <w:rPr>
          <w:rFonts w:ascii="Calibri" w:hAnsi="Calibri"/>
          <w:color w:val="7F7F7F" w:themeColor="text1" w:themeTint="80"/>
          <w:sz w:val="26"/>
          <w:szCs w:val="26"/>
        </w:rPr>
        <w:t>Valle de Jerez</w:t>
      </w:r>
      <w:r w:rsidR="00FE6FD0">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de esta ciudad</w:t>
      </w:r>
      <w:r w:rsidR="008E0AB6" w:rsidRPr="00BF5CA7">
        <w:rPr>
          <w:rFonts w:ascii="Calibri" w:hAnsi="Calibri" w:cs="Calibri"/>
          <w:color w:val="7F7F7F" w:themeColor="text1" w:themeTint="80"/>
          <w:sz w:val="26"/>
          <w:szCs w:val="26"/>
        </w:rPr>
        <w:t xml:space="preserve">; de acuerdo a lo argumentado en el Considerando Octavo de esta misma resolución.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lastRenderedPageBreak/>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FD" w:rsidRDefault="000D55FD">
      <w:r>
        <w:separator/>
      </w:r>
    </w:p>
  </w:endnote>
  <w:endnote w:type="continuationSeparator" w:id="0">
    <w:p w:rsidR="000D55FD" w:rsidRDefault="000D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FD" w:rsidRDefault="000D55FD">
      <w:r>
        <w:separator/>
      </w:r>
    </w:p>
  </w:footnote>
  <w:footnote w:type="continuationSeparator" w:id="0">
    <w:p w:rsidR="000D55FD" w:rsidRDefault="000D5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0D55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1A74">
      <w:rPr>
        <w:rStyle w:val="Nmerodepgina"/>
        <w:noProof/>
      </w:rPr>
      <w:t>10</w:t>
    </w:r>
    <w:r>
      <w:rPr>
        <w:rStyle w:val="Nmerodepgina"/>
      </w:rPr>
      <w:fldChar w:fldCharType="end"/>
    </w:r>
  </w:p>
  <w:p w:rsidR="00A70119" w:rsidRDefault="000D55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17EB0"/>
    <w:rsid w:val="000314EF"/>
    <w:rsid w:val="000739CB"/>
    <w:rsid w:val="00074B0E"/>
    <w:rsid w:val="000909AE"/>
    <w:rsid w:val="000954F8"/>
    <w:rsid w:val="000A4ED3"/>
    <w:rsid w:val="000B4397"/>
    <w:rsid w:val="000C6B3D"/>
    <w:rsid w:val="000D55FD"/>
    <w:rsid w:val="000D6D33"/>
    <w:rsid w:val="000E019D"/>
    <w:rsid w:val="000F12ED"/>
    <w:rsid w:val="00114938"/>
    <w:rsid w:val="00134594"/>
    <w:rsid w:val="00140A1C"/>
    <w:rsid w:val="0018462E"/>
    <w:rsid w:val="00193C54"/>
    <w:rsid w:val="001C1EB4"/>
    <w:rsid w:val="001E492B"/>
    <w:rsid w:val="00202A4D"/>
    <w:rsid w:val="00227973"/>
    <w:rsid w:val="00231AD0"/>
    <w:rsid w:val="00245DB1"/>
    <w:rsid w:val="002802A8"/>
    <w:rsid w:val="0028499F"/>
    <w:rsid w:val="002919BC"/>
    <w:rsid w:val="00291A74"/>
    <w:rsid w:val="00295DA4"/>
    <w:rsid w:val="002974BB"/>
    <w:rsid w:val="00314334"/>
    <w:rsid w:val="00343E70"/>
    <w:rsid w:val="00345365"/>
    <w:rsid w:val="00355D69"/>
    <w:rsid w:val="00363074"/>
    <w:rsid w:val="00367D9F"/>
    <w:rsid w:val="003803E5"/>
    <w:rsid w:val="0038550B"/>
    <w:rsid w:val="003C319B"/>
    <w:rsid w:val="003D0B6B"/>
    <w:rsid w:val="003F0CFE"/>
    <w:rsid w:val="0041005A"/>
    <w:rsid w:val="004328C1"/>
    <w:rsid w:val="00436BB1"/>
    <w:rsid w:val="0047616C"/>
    <w:rsid w:val="0047708E"/>
    <w:rsid w:val="004970A0"/>
    <w:rsid w:val="0049794B"/>
    <w:rsid w:val="004A41DC"/>
    <w:rsid w:val="004B3DFC"/>
    <w:rsid w:val="004C212B"/>
    <w:rsid w:val="004E2B17"/>
    <w:rsid w:val="00504989"/>
    <w:rsid w:val="00562A66"/>
    <w:rsid w:val="00562F72"/>
    <w:rsid w:val="00577C15"/>
    <w:rsid w:val="005820E3"/>
    <w:rsid w:val="005A1EAD"/>
    <w:rsid w:val="005C1EF8"/>
    <w:rsid w:val="005D15CD"/>
    <w:rsid w:val="005E0D8B"/>
    <w:rsid w:val="006071F6"/>
    <w:rsid w:val="0064042F"/>
    <w:rsid w:val="00656D08"/>
    <w:rsid w:val="00684D24"/>
    <w:rsid w:val="00685ED2"/>
    <w:rsid w:val="006B0FF3"/>
    <w:rsid w:val="006D41F4"/>
    <w:rsid w:val="006E1F7A"/>
    <w:rsid w:val="006E5AA9"/>
    <w:rsid w:val="006F3DF8"/>
    <w:rsid w:val="006F63DA"/>
    <w:rsid w:val="006F74D0"/>
    <w:rsid w:val="0070292F"/>
    <w:rsid w:val="00706056"/>
    <w:rsid w:val="00711C4D"/>
    <w:rsid w:val="00736742"/>
    <w:rsid w:val="00781737"/>
    <w:rsid w:val="00784CB8"/>
    <w:rsid w:val="007926D3"/>
    <w:rsid w:val="007A0566"/>
    <w:rsid w:val="007B3DCF"/>
    <w:rsid w:val="007D6748"/>
    <w:rsid w:val="007D67C9"/>
    <w:rsid w:val="0080464C"/>
    <w:rsid w:val="008063DD"/>
    <w:rsid w:val="00832B72"/>
    <w:rsid w:val="00833B37"/>
    <w:rsid w:val="00834317"/>
    <w:rsid w:val="00882A95"/>
    <w:rsid w:val="008A53D5"/>
    <w:rsid w:val="008A5D63"/>
    <w:rsid w:val="008B535A"/>
    <w:rsid w:val="008B6F66"/>
    <w:rsid w:val="008C282C"/>
    <w:rsid w:val="008C61C6"/>
    <w:rsid w:val="008E0AB6"/>
    <w:rsid w:val="008F0CF4"/>
    <w:rsid w:val="00920B03"/>
    <w:rsid w:val="009429E2"/>
    <w:rsid w:val="009466BA"/>
    <w:rsid w:val="00951162"/>
    <w:rsid w:val="00951532"/>
    <w:rsid w:val="009661F2"/>
    <w:rsid w:val="00981D66"/>
    <w:rsid w:val="0098360E"/>
    <w:rsid w:val="00992C9C"/>
    <w:rsid w:val="009964FC"/>
    <w:rsid w:val="009A23DB"/>
    <w:rsid w:val="009A50BE"/>
    <w:rsid w:val="009A69D8"/>
    <w:rsid w:val="009B4FBA"/>
    <w:rsid w:val="009E10FA"/>
    <w:rsid w:val="009E15DC"/>
    <w:rsid w:val="00A02F6E"/>
    <w:rsid w:val="00A17A21"/>
    <w:rsid w:val="00A217CD"/>
    <w:rsid w:val="00A22410"/>
    <w:rsid w:val="00A2439F"/>
    <w:rsid w:val="00A32EE2"/>
    <w:rsid w:val="00A57007"/>
    <w:rsid w:val="00A8545F"/>
    <w:rsid w:val="00A97819"/>
    <w:rsid w:val="00A97A65"/>
    <w:rsid w:val="00AB7C8F"/>
    <w:rsid w:val="00AC206B"/>
    <w:rsid w:val="00AC308A"/>
    <w:rsid w:val="00AE1A6F"/>
    <w:rsid w:val="00AE3E7D"/>
    <w:rsid w:val="00B05B82"/>
    <w:rsid w:val="00B106D7"/>
    <w:rsid w:val="00B427DE"/>
    <w:rsid w:val="00B62D66"/>
    <w:rsid w:val="00B65360"/>
    <w:rsid w:val="00B70014"/>
    <w:rsid w:val="00B75A23"/>
    <w:rsid w:val="00B75DD6"/>
    <w:rsid w:val="00BB36E8"/>
    <w:rsid w:val="00BC5DA4"/>
    <w:rsid w:val="00BF0BF6"/>
    <w:rsid w:val="00BF6197"/>
    <w:rsid w:val="00C03E23"/>
    <w:rsid w:val="00C10076"/>
    <w:rsid w:val="00C10164"/>
    <w:rsid w:val="00C22DC8"/>
    <w:rsid w:val="00C464F2"/>
    <w:rsid w:val="00C46636"/>
    <w:rsid w:val="00C72228"/>
    <w:rsid w:val="00C73B77"/>
    <w:rsid w:val="00C87B40"/>
    <w:rsid w:val="00CA2C14"/>
    <w:rsid w:val="00CE396D"/>
    <w:rsid w:val="00CF7B38"/>
    <w:rsid w:val="00D1202C"/>
    <w:rsid w:val="00D14E8F"/>
    <w:rsid w:val="00D30188"/>
    <w:rsid w:val="00D3379E"/>
    <w:rsid w:val="00D4766E"/>
    <w:rsid w:val="00D564DD"/>
    <w:rsid w:val="00D61484"/>
    <w:rsid w:val="00D77803"/>
    <w:rsid w:val="00D77B11"/>
    <w:rsid w:val="00DB641E"/>
    <w:rsid w:val="00DE0314"/>
    <w:rsid w:val="00DF3DD6"/>
    <w:rsid w:val="00E0072D"/>
    <w:rsid w:val="00E16C1B"/>
    <w:rsid w:val="00E31BEB"/>
    <w:rsid w:val="00E36900"/>
    <w:rsid w:val="00E447A6"/>
    <w:rsid w:val="00E50512"/>
    <w:rsid w:val="00E54AA9"/>
    <w:rsid w:val="00E77635"/>
    <w:rsid w:val="00E83986"/>
    <w:rsid w:val="00E950DE"/>
    <w:rsid w:val="00E959B2"/>
    <w:rsid w:val="00EA36B8"/>
    <w:rsid w:val="00EA4780"/>
    <w:rsid w:val="00EC7D6A"/>
    <w:rsid w:val="00EE4879"/>
    <w:rsid w:val="00F52045"/>
    <w:rsid w:val="00F54858"/>
    <w:rsid w:val="00F95EF2"/>
    <w:rsid w:val="00FA04C4"/>
    <w:rsid w:val="00FA5C47"/>
    <w:rsid w:val="00FA79FD"/>
    <w:rsid w:val="00FB227A"/>
    <w:rsid w:val="00FB6D86"/>
    <w:rsid w:val="00FC2718"/>
    <w:rsid w:val="00FC2859"/>
    <w:rsid w:val="00FC6D4E"/>
    <w:rsid w:val="00FD5D57"/>
    <w:rsid w:val="00FE0446"/>
    <w:rsid w:val="00FE6FD0"/>
    <w:rsid w:val="00FF119B"/>
    <w:rsid w:val="00FF2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715156072">
      <w:bodyDiv w:val="1"/>
      <w:marLeft w:val="0"/>
      <w:marRight w:val="0"/>
      <w:marTop w:val="0"/>
      <w:marBottom w:val="0"/>
      <w:divBdr>
        <w:top w:val="none" w:sz="0" w:space="0" w:color="auto"/>
        <w:left w:val="none" w:sz="0" w:space="0" w:color="auto"/>
        <w:bottom w:val="none" w:sz="0" w:space="0" w:color="auto"/>
        <w:right w:val="none" w:sz="0" w:space="0" w:color="auto"/>
      </w:divBdr>
    </w:div>
    <w:div w:id="721904182">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049525475">
      <w:bodyDiv w:val="1"/>
      <w:marLeft w:val="0"/>
      <w:marRight w:val="0"/>
      <w:marTop w:val="0"/>
      <w:marBottom w:val="0"/>
      <w:divBdr>
        <w:top w:val="none" w:sz="0" w:space="0" w:color="auto"/>
        <w:left w:val="none" w:sz="0" w:space="0" w:color="auto"/>
        <w:bottom w:val="none" w:sz="0" w:space="0" w:color="auto"/>
        <w:right w:val="none" w:sz="0" w:space="0" w:color="auto"/>
      </w:divBdr>
    </w:div>
    <w:div w:id="184755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4784</Words>
  <Characters>26316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2017-03-31T15:17:00Z</dcterms:created>
  <dcterms:modified xsi:type="dcterms:W3CDTF">2017-03-31T15:17:00Z</dcterms:modified>
</cp:coreProperties>
</file>